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9777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  <w:b/>
          <w:sz w:val="32"/>
        </w:rPr>
        <w:t>SDTF‑HEI Institutional Capacity Self‑Assessment Toolkit</w:t>
      </w:r>
    </w:p>
    <w:p w14:paraId="501E7BC2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  <w:i/>
        </w:rPr>
        <w:t>Instrument 3: Evidence Checklist (Document Collection &amp; Data Preparation)</w:t>
      </w:r>
    </w:p>
    <w:p w14:paraId="3C7E9EEA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</w:p>
    <w:p w14:paraId="60A33DE3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How to use this checklist</w:t>
      </w:r>
    </w:p>
    <w:p w14:paraId="718A2738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Use this checklist to identify and collect evidence that supports scoring decisions in the Scoring Template. For each evidence item, record (</w:t>
      </w:r>
      <w:proofErr w:type="spellStart"/>
      <w:r w:rsidRPr="00DE7032">
        <w:rPr>
          <w:rFonts w:asciiTheme="majorBidi" w:hAnsiTheme="majorBidi" w:cstheme="majorBidi"/>
        </w:rPr>
        <w:t>i</w:t>
      </w:r>
      <w:proofErr w:type="spellEnd"/>
      <w:r w:rsidRPr="00DE7032">
        <w:rPr>
          <w:rFonts w:asciiTheme="majorBidi" w:hAnsiTheme="majorBidi" w:cstheme="majorBidi"/>
        </w:rPr>
        <w:t>) where it is stored (URL or file path), (ii) date/version, and (iii) responsible owner. Not all items will exist in every HEI; where an item is not available, this usually implies a lower maturity score.</w:t>
      </w:r>
    </w:p>
    <w:p w14:paraId="5C0F95EA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Linking evidence to scoring indicators (recommended)</w:t>
      </w:r>
    </w:p>
    <w:p w14:paraId="5CF71489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The Scoring Template includes indicator IDs for each domain (e.g., S1–S5 for DT Strategy, G1–G5 for Governance). When collecting evidence, it is recommended to (</w:t>
      </w:r>
      <w:proofErr w:type="spellStart"/>
      <w:r w:rsidRPr="00DE7032">
        <w:rPr>
          <w:rFonts w:asciiTheme="majorBidi" w:hAnsiTheme="majorBidi" w:cstheme="majorBidi"/>
        </w:rPr>
        <w:t>i</w:t>
      </w:r>
      <w:proofErr w:type="spellEnd"/>
      <w:r w:rsidRPr="00DE7032">
        <w:rPr>
          <w:rFonts w:asciiTheme="majorBidi" w:hAnsiTheme="majorBidi" w:cstheme="majorBidi"/>
        </w:rPr>
        <w:t>) assign each artefact a short evidence reference code (e.g., STR‑01, GOV‑03), (ii) record where it is stored (URL/file path), and (iii) note which indicator(s) the artefact supports. This cross‑referencing strengthens traceability and makes domain scoring decisions easier to justify in the assessment workshop.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4"/>
        <w:gridCol w:w="1232"/>
        <w:gridCol w:w="1232"/>
        <w:gridCol w:w="1233"/>
      </w:tblGrid>
      <w:tr w:rsidR="009E69F5" w:rsidRPr="00DE7032" w14:paraId="46F17072" w14:textId="77777777" w:rsidTr="00B50CB5">
        <w:tc>
          <w:tcPr>
            <w:tcW w:w="1234" w:type="dxa"/>
          </w:tcPr>
          <w:p w14:paraId="0DDBC68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ref code</w:t>
            </w:r>
          </w:p>
        </w:tc>
        <w:tc>
          <w:tcPr>
            <w:tcW w:w="1234" w:type="dxa"/>
          </w:tcPr>
          <w:p w14:paraId="435B0A9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Linked indicator ID(s)</w:t>
            </w:r>
          </w:p>
        </w:tc>
        <w:tc>
          <w:tcPr>
            <w:tcW w:w="1234" w:type="dxa"/>
          </w:tcPr>
          <w:p w14:paraId="16B1565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 / artefact</w:t>
            </w:r>
          </w:p>
        </w:tc>
        <w:tc>
          <w:tcPr>
            <w:tcW w:w="1234" w:type="dxa"/>
          </w:tcPr>
          <w:p w14:paraId="2C4AE0A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Type (policy / minutes / dashboard / etc.)</w:t>
            </w:r>
          </w:p>
        </w:tc>
        <w:tc>
          <w:tcPr>
            <w:tcW w:w="1234" w:type="dxa"/>
          </w:tcPr>
          <w:p w14:paraId="4F999A0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Owner</w:t>
            </w:r>
          </w:p>
        </w:tc>
        <w:tc>
          <w:tcPr>
            <w:tcW w:w="1234" w:type="dxa"/>
          </w:tcPr>
          <w:p w14:paraId="52B7925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Date / version</w:t>
            </w:r>
          </w:p>
        </w:tc>
        <w:tc>
          <w:tcPr>
            <w:tcW w:w="1234" w:type="dxa"/>
          </w:tcPr>
          <w:p w14:paraId="6776784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Storage location (URL / file path) + notes</w:t>
            </w:r>
          </w:p>
        </w:tc>
      </w:tr>
      <w:tr w:rsidR="009E69F5" w:rsidRPr="00DE7032" w14:paraId="710C0246" w14:textId="77777777" w:rsidTr="00B50CB5">
        <w:tc>
          <w:tcPr>
            <w:tcW w:w="1234" w:type="dxa"/>
          </w:tcPr>
          <w:p w14:paraId="37739CC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952768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B9AED8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196C92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0B0B69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659804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29AA07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3E304D0F" w14:textId="77777777" w:rsidTr="00B50CB5">
        <w:tc>
          <w:tcPr>
            <w:tcW w:w="1234" w:type="dxa"/>
          </w:tcPr>
          <w:p w14:paraId="74C024F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A5753E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339961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34092E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F51775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35D593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F348DC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7E8024A" w14:textId="77777777" w:rsidTr="00B50CB5">
        <w:tc>
          <w:tcPr>
            <w:tcW w:w="1234" w:type="dxa"/>
          </w:tcPr>
          <w:p w14:paraId="5E0907A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B7744E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499BCE8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794DEA4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D208CB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4C31EE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C843B6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8C5E32F" w14:textId="77777777" w:rsidTr="00B50CB5">
        <w:tc>
          <w:tcPr>
            <w:tcW w:w="1234" w:type="dxa"/>
          </w:tcPr>
          <w:p w14:paraId="0AAC8DF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8CE7E8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44D9571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0EFCB5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A59110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75EF823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062C90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028CFC6" w14:textId="77777777" w:rsidTr="00B50CB5">
        <w:tc>
          <w:tcPr>
            <w:tcW w:w="1234" w:type="dxa"/>
          </w:tcPr>
          <w:p w14:paraId="0AA9684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0124AB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78C9A0B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A27F3A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9BA75A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13F6AE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8F5938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0549185B" w14:textId="77777777" w:rsidTr="00B50CB5">
        <w:tc>
          <w:tcPr>
            <w:tcW w:w="1234" w:type="dxa"/>
          </w:tcPr>
          <w:p w14:paraId="58B7A7D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8AE8C7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7B4F954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71DF1A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2CB494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BC75E4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4A78545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D415BCB" w14:textId="77777777" w:rsidTr="00B50CB5">
        <w:tc>
          <w:tcPr>
            <w:tcW w:w="1234" w:type="dxa"/>
          </w:tcPr>
          <w:p w14:paraId="603800B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F81873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72DFF9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AB1E6F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5F67FA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C8BEF0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F5EA73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245AEC7" w14:textId="77777777" w:rsidTr="00B50CB5">
        <w:tc>
          <w:tcPr>
            <w:tcW w:w="1234" w:type="dxa"/>
          </w:tcPr>
          <w:p w14:paraId="5F6B55C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3C6CE1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CDD52E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1C215C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DCA2D1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02F9A6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D42445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86AA16D" w14:textId="77777777" w:rsidTr="00B50CB5">
        <w:tc>
          <w:tcPr>
            <w:tcW w:w="1234" w:type="dxa"/>
          </w:tcPr>
          <w:p w14:paraId="564EDFF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AF2A7C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3A1B34B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40C3206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18BE34C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3FAB23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392F91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AB5DA97" w14:textId="77777777" w:rsidTr="00B50CB5">
        <w:tc>
          <w:tcPr>
            <w:tcW w:w="1234" w:type="dxa"/>
          </w:tcPr>
          <w:p w14:paraId="3DBFA3A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7BF6C57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45033B9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2812721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66AEB7F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57D444A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234" w:type="dxa"/>
          </w:tcPr>
          <w:p w14:paraId="055A0D1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5D8FB084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lastRenderedPageBreak/>
        <w:t>A. Core institutional evidence (recommended for all HEIs)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2124"/>
        <w:gridCol w:w="1613"/>
        <w:gridCol w:w="1595"/>
        <w:gridCol w:w="1567"/>
      </w:tblGrid>
      <w:tr w:rsidR="009E69F5" w:rsidRPr="00DE7032" w14:paraId="20C7CD82" w14:textId="77777777" w:rsidTr="00B50CB5">
        <w:tc>
          <w:tcPr>
            <w:tcW w:w="1728" w:type="dxa"/>
          </w:tcPr>
          <w:p w14:paraId="6C7393B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</w:t>
            </w:r>
          </w:p>
        </w:tc>
        <w:tc>
          <w:tcPr>
            <w:tcW w:w="1728" w:type="dxa"/>
          </w:tcPr>
          <w:p w14:paraId="28F7A70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Examples of acceptable artefacts</w:t>
            </w:r>
          </w:p>
        </w:tc>
        <w:tc>
          <w:tcPr>
            <w:tcW w:w="1728" w:type="dxa"/>
          </w:tcPr>
          <w:p w14:paraId="3FD0A56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Where to record it (suggested)</w:t>
            </w:r>
          </w:p>
        </w:tc>
        <w:tc>
          <w:tcPr>
            <w:tcW w:w="1728" w:type="dxa"/>
          </w:tcPr>
          <w:p w14:paraId="4266D1D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1728" w:type="dxa"/>
          </w:tcPr>
          <w:p w14:paraId="7D8CE20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24D172D5" w14:textId="77777777" w:rsidTr="00B50CB5">
        <w:tc>
          <w:tcPr>
            <w:tcW w:w="1728" w:type="dxa"/>
          </w:tcPr>
          <w:p w14:paraId="2C23B91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Institutional strategic plan (latest)</w:t>
            </w:r>
          </w:p>
        </w:tc>
        <w:tc>
          <w:tcPr>
            <w:tcW w:w="1728" w:type="dxa"/>
          </w:tcPr>
          <w:p w14:paraId="7180580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Strategic plan PDF; annual report; strategy presentation</w:t>
            </w:r>
          </w:p>
        </w:tc>
        <w:tc>
          <w:tcPr>
            <w:tcW w:w="1728" w:type="dxa"/>
          </w:tcPr>
          <w:p w14:paraId="63BF13D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register / SharePoint / drive</w:t>
            </w:r>
          </w:p>
        </w:tc>
        <w:tc>
          <w:tcPr>
            <w:tcW w:w="1728" w:type="dxa"/>
          </w:tcPr>
          <w:p w14:paraId="3468D13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42FB22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FE9C3EB" w14:textId="77777777" w:rsidTr="00B50CB5">
        <w:tc>
          <w:tcPr>
            <w:tcW w:w="1728" w:type="dxa"/>
          </w:tcPr>
          <w:p w14:paraId="122F1CD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DT strategy / roadmap (if separate)</w:t>
            </w:r>
          </w:p>
        </w:tc>
        <w:tc>
          <w:tcPr>
            <w:tcW w:w="1728" w:type="dxa"/>
          </w:tcPr>
          <w:p w14:paraId="347308B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DT roadmap deck; digital strategy PDF; </w:t>
            </w:r>
            <w:proofErr w:type="spellStart"/>
            <w:r w:rsidRPr="00DE7032">
              <w:rPr>
                <w:rFonts w:asciiTheme="majorBidi" w:hAnsiTheme="majorBidi" w:cstheme="majorBidi"/>
              </w:rPr>
              <w:t>programme</w:t>
            </w:r>
            <w:proofErr w:type="spellEnd"/>
            <w:r w:rsidRPr="00DE7032">
              <w:rPr>
                <w:rFonts w:asciiTheme="majorBidi" w:hAnsiTheme="majorBidi" w:cstheme="majorBidi"/>
              </w:rPr>
              <w:t xml:space="preserve"> charter</w:t>
            </w:r>
          </w:p>
        </w:tc>
        <w:tc>
          <w:tcPr>
            <w:tcW w:w="1728" w:type="dxa"/>
          </w:tcPr>
          <w:p w14:paraId="3C21A0A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711C260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5FEB460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C5A3451" w14:textId="77777777" w:rsidTr="00B50CB5">
        <w:tc>
          <w:tcPr>
            <w:tcW w:w="1728" w:type="dxa"/>
          </w:tcPr>
          <w:p w14:paraId="260DFE9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E7032">
              <w:rPr>
                <w:rFonts w:asciiTheme="majorBidi" w:hAnsiTheme="majorBidi" w:cstheme="majorBidi"/>
              </w:rPr>
              <w:t>Organisational</w:t>
            </w:r>
            <w:proofErr w:type="spellEnd"/>
            <w:r w:rsidRPr="00DE7032">
              <w:rPr>
                <w:rFonts w:asciiTheme="majorBidi" w:hAnsiTheme="majorBidi" w:cstheme="majorBidi"/>
              </w:rPr>
              <w:t xml:space="preserve"> chart for DT/IT/e-learning</w:t>
            </w:r>
          </w:p>
        </w:tc>
        <w:tc>
          <w:tcPr>
            <w:tcW w:w="1728" w:type="dxa"/>
          </w:tcPr>
          <w:p w14:paraId="01EDAAA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Org chart; committee membership list; </w:t>
            </w:r>
            <w:proofErr w:type="spellStart"/>
            <w:r w:rsidRPr="00DE7032">
              <w:rPr>
                <w:rFonts w:asciiTheme="majorBidi" w:hAnsiTheme="majorBidi" w:cstheme="majorBidi"/>
              </w:rPr>
              <w:t>ToR</w:t>
            </w:r>
            <w:proofErr w:type="spellEnd"/>
          </w:p>
        </w:tc>
        <w:tc>
          <w:tcPr>
            <w:tcW w:w="1728" w:type="dxa"/>
          </w:tcPr>
          <w:p w14:paraId="15B76A9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880A14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9B83F1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3F7F5C8" w14:textId="77777777" w:rsidTr="00B50CB5">
        <w:tc>
          <w:tcPr>
            <w:tcW w:w="1728" w:type="dxa"/>
          </w:tcPr>
          <w:p w14:paraId="5B96002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Digital service catalogue</w:t>
            </w:r>
          </w:p>
        </w:tc>
        <w:tc>
          <w:tcPr>
            <w:tcW w:w="1728" w:type="dxa"/>
          </w:tcPr>
          <w:p w14:paraId="24900A2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IT service catalogue; e-services list; portal screenshots</w:t>
            </w:r>
          </w:p>
        </w:tc>
        <w:tc>
          <w:tcPr>
            <w:tcW w:w="1728" w:type="dxa"/>
          </w:tcPr>
          <w:p w14:paraId="44E2EA1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503B3F5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0BFA7F7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46C1FFE" w14:textId="77777777" w:rsidTr="00B50CB5">
        <w:tc>
          <w:tcPr>
            <w:tcW w:w="1728" w:type="dxa"/>
          </w:tcPr>
          <w:p w14:paraId="7A9CCA6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Key platforms overview</w:t>
            </w:r>
          </w:p>
        </w:tc>
        <w:tc>
          <w:tcPr>
            <w:tcW w:w="1728" w:type="dxa"/>
          </w:tcPr>
          <w:p w14:paraId="6C0EB07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Enterprise architecture diagram; list of LMS/SIS/ERP/CRM; integration map</w:t>
            </w:r>
          </w:p>
        </w:tc>
        <w:tc>
          <w:tcPr>
            <w:tcW w:w="1728" w:type="dxa"/>
          </w:tcPr>
          <w:p w14:paraId="0A9451E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77168C7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718907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CDDE119" w14:textId="77777777" w:rsidTr="00B50CB5">
        <w:tc>
          <w:tcPr>
            <w:tcW w:w="1728" w:type="dxa"/>
          </w:tcPr>
          <w:p w14:paraId="0314348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Monitoring dashboards / KPI reports</w:t>
            </w:r>
          </w:p>
        </w:tc>
        <w:tc>
          <w:tcPr>
            <w:tcW w:w="1728" w:type="dxa"/>
          </w:tcPr>
          <w:p w14:paraId="3930166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Dashboard screenshots; BI reports; balanced scorecard extracts</w:t>
            </w:r>
          </w:p>
        </w:tc>
        <w:tc>
          <w:tcPr>
            <w:tcW w:w="1728" w:type="dxa"/>
          </w:tcPr>
          <w:p w14:paraId="04D854D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7A3AE03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FB9903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7D4F022" w14:textId="77777777" w:rsidTr="00B50CB5">
        <w:tc>
          <w:tcPr>
            <w:tcW w:w="1728" w:type="dxa"/>
          </w:tcPr>
          <w:p w14:paraId="77115D7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Training catalogue and training logs</w:t>
            </w:r>
          </w:p>
        </w:tc>
        <w:tc>
          <w:tcPr>
            <w:tcW w:w="1728" w:type="dxa"/>
          </w:tcPr>
          <w:p w14:paraId="703C635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Training calendar; attendance logs; LMS training course completion reports</w:t>
            </w:r>
          </w:p>
        </w:tc>
        <w:tc>
          <w:tcPr>
            <w:tcW w:w="1728" w:type="dxa"/>
          </w:tcPr>
          <w:p w14:paraId="57BC063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6346CDA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2E4BAA6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0EB909C8" w14:textId="77777777" w:rsidTr="00B50CB5">
        <w:tc>
          <w:tcPr>
            <w:tcW w:w="1728" w:type="dxa"/>
          </w:tcPr>
          <w:p w14:paraId="2F0D237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Helpdesk/service management analytics</w:t>
            </w:r>
          </w:p>
        </w:tc>
        <w:tc>
          <w:tcPr>
            <w:tcW w:w="1728" w:type="dxa"/>
          </w:tcPr>
          <w:p w14:paraId="2616614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Ticketing reports; SLAs; response-time metrics</w:t>
            </w:r>
          </w:p>
        </w:tc>
        <w:tc>
          <w:tcPr>
            <w:tcW w:w="1728" w:type="dxa"/>
          </w:tcPr>
          <w:p w14:paraId="439E9A7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699820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3A1D3CF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DDC4E07" w14:textId="77777777" w:rsidTr="00B50CB5">
        <w:tc>
          <w:tcPr>
            <w:tcW w:w="1728" w:type="dxa"/>
          </w:tcPr>
          <w:p w14:paraId="6BB8F1A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Policies (data, cybersecurity, privacy)</w:t>
            </w:r>
          </w:p>
        </w:tc>
        <w:tc>
          <w:tcPr>
            <w:tcW w:w="1728" w:type="dxa"/>
          </w:tcPr>
          <w:p w14:paraId="311B961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Data governance policy; cybersecurity policy; incident response plan</w:t>
            </w:r>
          </w:p>
        </w:tc>
        <w:tc>
          <w:tcPr>
            <w:tcW w:w="1728" w:type="dxa"/>
          </w:tcPr>
          <w:p w14:paraId="0A5ADFE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5B4B928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7D4226E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37053625" w14:textId="77777777" w:rsidTr="00B50CB5">
        <w:tc>
          <w:tcPr>
            <w:tcW w:w="1728" w:type="dxa"/>
          </w:tcPr>
          <w:p w14:paraId="37AA4D2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lastRenderedPageBreak/>
              <w:t>Key vendor contracts / SLAs (if relevant)</w:t>
            </w:r>
          </w:p>
        </w:tc>
        <w:tc>
          <w:tcPr>
            <w:tcW w:w="1728" w:type="dxa"/>
          </w:tcPr>
          <w:p w14:paraId="1B5F306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Signed SLA; vendor scorecard; contract summary</w:t>
            </w:r>
          </w:p>
        </w:tc>
        <w:tc>
          <w:tcPr>
            <w:tcW w:w="1728" w:type="dxa"/>
          </w:tcPr>
          <w:p w14:paraId="2DCFD73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197F90D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28" w:type="dxa"/>
          </w:tcPr>
          <w:p w14:paraId="4DE3CB9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5DFAF352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Domain 1 – DT Strategy (Indicators S1–S5)</w:t>
      </w:r>
    </w:p>
    <w:p w14:paraId="7F556E5F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Tick and collect the items below as applicable. Where evidence is sensitive, record a redacted version or a summary note describing what exists and who can verify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282"/>
        <w:gridCol w:w="2112"/>
        <w:gridCol w:w="2106"/>
      </w:tblGrid>
      <w:tr w:rsidR="009E69F5" w:rsidRPr="00DE7032" w14:paraId="7824F960" w14:textId="77777777" w:rsidTr="00B50CB5">
        <w:tc>
          <w:tcPr>
            <w:tcW w:w="2160" w:type="dxa"/>
          </w:tcPr>
          <w:p w14:paraId="0B782DB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</w:t>
            </w:r>
          </w:p>
        </w:tc>
        <w:tc>
          <w:tcPr>
            <w:tcW w:w="2160" w:type="dxa"/>
          </w:tcPr>
          <w:p w14:paraId="1C7DD0D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Description / examples</w:t>
            </w:r>
          </w:p>
        </w:tc>
        <w:tc>
          <w:tcPr>
            <w:tcW w:w="2160" w:type="dxa"/>
          </w:tcPr>
          <w:p w14:paraId="21C0C2E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2160" w:type="dxa"/>
          </w:tcPr>
          <w:p w14:paraId="7B01339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3CCE8C62" w14:textId="77777777" w:rsidTr="00B50CB5">
        <w:tc>
          <w:tcPr>
            <w:tcW w:w="2160" w:type="dxa"/>
          </w:tcPr>
          <w:p w14:paraId="3D7FC9B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DT roadmap with sequencing</w:t>
            </w:r>
          </w:p>
        </w:tc>
        <w:tc>
          <w:tcPr>
            <w:tcW w:w="2160" w:type="dxa"/>
          </w:tcPr>
          <w:p w14:paraId="6A6961D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Roadmap showing phases, dependencies, milestones, and owners.</w:t>
            </w:r>
          </w:p>
        </w:tc>
        <w:tc>
          <w:tcPr>
            <w:tcW w:w="2160" w:type="dxa"/>
          </w:tcPr>
          <w:p w14:paraId="67DB6D7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80256F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1D3640F7" w14:textId="77777777" w:rsidTr="00B50CB5">
        <w:tc>
          <w:tcPr>
            <w:tcW w:w="2160" w:type="dxa"/>
          </w:tcPr>
          <w:p w14:paraId="5AEC58D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Portfolio </w:t>
            </w:r>
            <w:proofErr w:type="spellStart"/>
            <w:r w:rsidRPr="00DE7032">
              <w:rPr>
                <w:rFonts w:asciiTheme="majorBidi" w:hAnsiTheme="majorBidi" w:cstheme="majorBidi"/>
              </w:rPr>
              <w:t>prioritisation</w:t>
            </w:r>
            <w:proofErr w:type="spellEnd"/>
            <w:r w:rsidRPr="00DE7032">
              <w:rPr>
                <w:rFonts w:asciiTheme="majorBidi" w:hAnsiTheme="majorBidi" w:cstheme="majorBidi"/>
              </w:rPr>
              <w:t xml:space="preserve"> criteria</w:t>
            </w:r>
          </w:p>
        </w:tc>
        <w:tc>
          <w:tcPr>
            <w:tcW w:w="2160" w:type="dxa"/>
          </w:tcPr>
          <w:p w14:paraId="3819877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Documented criteria (value, risk, effort); </w:t>
            </w:r>
            <w:proofErr w:type="spellStart"/>
            <w:r w:rsidRPr="00DE7032">
              <w:rPr>
                <w:rFonts w:asciiTheme="majorBidi" w:hAnsiTheme="majorBidi" w:cstheme="majorBidi"/>
              </w:rPr>
              <w:t>prioritisation</w:t>
            </w:r>
            <w:proofErr w:type="spellEnd"/>
            <w:r w:rsidRPr="00DE7032">
              <w:rPr>
                <w:rFonts w:asciiTheme="majorBidi" w:hAnsiTheme="majorBidi" w:cstheme="majorBidi"/>
              </w:rPr>
              <w:t xml:space="preserve"> matrix.</w:t>
            </w:r>
          </w:p>
        </w:tc>
        <w:tc>
          <w:tcPr>
            <w:tcW w:w="2160" w:type="dxa"/>
          </w:tcPr>
          <w:p w14:paraId="466E21F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A19DCB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0123C4FD" w14:textId="77777777" w:rsidTr="00B50CB5">
        <w:tc>
          <w:tcPr>
            <w:tcW w:w="2160" w:type="dxa"/>
          </w:tcPr>
          <w:p w14:paraId="4566F25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Resourcing and budgeting approach</w:t>
            </w:r>
          </w:p>
        </w:tc>
        <w:tc>
          <w:tcPr>
            <w:tcW w:w="2160" w:type="dxa"/>
          </w:tcPr>
          <w:p w14:paraId="196BA65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DT budget line; project funding approvals; business cases.</w:t>
            </w:r>
          </w:p>
        </w:tc>
        <w:tc>
          <w:tcPr>
            <w:tcW w:w="2160" w:type="dxa"/>
          </w:tcPr>
          <w:p w14:paraId="51D8E39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8A01A7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579DFEC" w14:textId="77777777" w:rsidTr="00B50CB5">
        <w:tc>
          <w:tcPr>
            <w:tcW w:w="2160" w:type="dxa"/>
          </w:tcPr>
          <w:p w14:paraId="5448C02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Benefits </w:t>
            </w:r>
            <w:proofErr w:type="spellStart"/>
            <w:r w:rsidRPr="00DE7032">
              <w:rPr>
                <w:rFonts w:asciiTheme="majorBidi" w:hAnsiTheme="majorBidi" w:cstheme="majorBidi"/>
              </w:rPr>
              <w:t>realisation</w:t>
            </w:r>
            <w:proofErr w:type="spellEnd"/>
            <w:r w:rsidRPr="00DE7032">
              <w:rPr>
                <w:rFonts w:asciiTheme="majorBidi" w:hAnsiTheme="majorBidi" w:cstheme="majorBidi"/>
              </w:rPr>
              <w:t>/KPI model</w:t>
            </w:r>
          </w:p>
        </w:tc>
        <w:tc>
          <w:tcPr>
            <w:tcW w:w="2160" w:type="dxa"/>
          </w:tcPr>
          <w:p w14:paraId="0600726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KPI tree; benefits map; targets and reporting cadence.</w:t>
            </w:r>
          </w:p>
        </w:tc>
        <w:tc>
          <w:tcPr>
            <w:tcW w:w="2160" w:type="dxa"/>
          </w:tcPr>
          <w:p w14:paraId="5A30F33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22EF681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B64FDE8" w14:textId="77777777" w:rsidTr="00B50CB5">
        <w:tc>
          <w:tcPr>
            <w:tcW w:w="2160" w:type="dxa"/>
          </w:tcPr>
          <w:p w14:paraId="3F90543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Risk management integration</w:t>
            </w:r>
          </w:p>
        </w:tc>
        <w:tc>
          <w:tcPr>
            <w:tcW w:w="2160" w:type="dxa"/>
          </w:tcPr>
          <w:p w14:paraId="1EFAFED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Risk register including digital/cyber/continuity risks; mitigation plans.</w:t>
            </w:r>
          </w:p>
        </w:tc>
        <w:tc>
          <w:tcPr>
            <w:tcW w:w="2160" w:type="dxa"/>
          </w:tcPr>
          <w:p w14:paraId="1E0F87E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54DD5DD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7C6D8518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Domain 2 – Governance, Leadership &amp; Management (Indicators G1–G5)</w:t>
      </w:r>
    </w:p>
    <w:p w14:paraId="1097E56E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Tick and collect the items below as applicable. Where evidence is sensitive, record a redacted version or a summary note describing what exists and who can verify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9E69F5" w:rsidRPr="00DE7032" w14:paraId="42D9FD79" w14:textId="77777777" w:rsidTr="00B50CB5">
        <w:tc>
          <w:tcPr>
            <w:tcW w:w="2160" w:type="dxa"/>
          </w:tcPr>
          <w:p w14:paraId="2E495C3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</w:t>
            </w:r>
          </w:p>
        </w:tc>
        <w:tc>
          <w:tcPr>
            <w:tcW w:w="2160" w:type="dxa"/>
          </w:tcPr>
          <w:p w14:paraId="4F64819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Description / examples</w:t>
            </w:r>
          </w:p>
        </w:tc>
        <w:tc>
          <w:tcPr>
            <w:tcW w:w="2160" w:type="dxa"/>
          </w:tcPr>
          <w:p w14:paraId="5DCCCAE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2160" w:type="dxa"/>
          </w:tcPr>
          <w:p w14:paraId="1492127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69F030BD" w14:textId="77777777" w:rsidTr="00B50CB5">
        <w:tc>
          <w:tcPr>
            <w:tcW w:w="2160" w:type="dxa"/>
          </w:tcPr>
          <w:p w14:paraId="3FDDD9E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DT governance structure</w:t>
            </w:r>
          </w:p>
        </w:tc>
        <w:tc>
          <w:tcPr>
            <w:tcW w:w="2160" w:type="dxa"/>
          </w:tcPr>
          <w:p w14:paraId="3CFE6A8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Steering committee </w:t>
            </w:r>
            <w:proofErr w:type="spellStart"/>
            <w:r w:rsidRPr="00DE7032">
              <w:rPr>
                <w:rFonts w:asciiTheme="majorBidi" w:hAnsiTheme="majorBidi" w:cstheme="majorBidi"/>
              </w:rPr>
              <w:t>ToR</w:t>
            </w:r>
            <w:proofErr w:type="spellEnd"/>
            <w:r w:rsidRPr="00DE7032">
              <w:rPr>
                <w:rFonts w:asciiTheme="majorBidi" w:hAnsiTheme="majorBidi" w:cstheme="majorBidi"/>
              </w:rPr>
              <w:t>; membership; meeting schedule.</w:t>
            </w:r>
          </w:p>
        </w:tc>
        <w:tc>
          <w:tcPr>
            <w:tcW w:w="2160" w:type="dxa"/>
          </w:tcPr>
          <w:p w14:paraId="0749D2E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62CA62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7955B5A" w14:textId="77777777" w:rsidTr="00B50CB5">
        <w:tc>
          <w:tcPr>
            <w:tcW w:w="2160" w:type="dxa"/>
          </w:tcPr>
          <w:p w14:paraId="3E8AB06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lastRenderedPageBreak/>
              <w:t>Decision rights &amp; accountability</w:t>
            </w:r>
          </w:p>
        </w:tc>
        <w:tc>
          <w:tcPr>
            <w:tcW w:w="2160" w:type="dxa"/>
          </w:tcPr>
          <w:p w14:paraId="699F49C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RACI; delegated authority matrix; escalation paths.</w:t>
            </w:r>
          </w:p>
        </w:tc>
        <w:tc>
          <w:tcPr>
            <w:tcW w:w="2160" w:type="dxa"/>
          </w:tcPr>
          <w:p w14:paraId="1EDDF44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3F1A00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09B35B5" w14:textId="77777777" w:rsidTr="00B50CB5">
        <w:tc>
          <w:tcPr>
            <w:tcW w:w="2160" w:type="dxa"/>
          </w:tcPr>
          <w:p w14:paraId="27DE5C9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Project management routines</w:t>
            </w:r>
          </w:p>
        </w:tc>
        <w:tc>
          <w:tcPr>
            <w:tcW w:w="2160" w:type="dxa"/>
          </w:tcPr>
          <w:p w14:paraId="1893F9D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Stage-gate templates; weekly/monthly status reports; PMO artefacts.</w:t>
            </w:r>
          </w:p>
        </w:tc>
        <w:tc>
          <w:tcPr>
            <w:tcW w:w="2160" w:type="dxa"/>
          </w:tcPr>
          <w:p w14:paraId="7FE4317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049F72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A7D4E46" w14:textId="77777777" w:rsidTr="00B50CB5">
        <w:tc>
          <w:tcPr>
            <w:tcW w:w="2160" w:type="dxa"/>
          </w:tcPr>
          <w:p w14:paraId="3D6856E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Standards and policies</w:t>
            </w:r>
          </w:p>
        </w:tc>
        <w:tc>
          <w:tcPr>
            <w:tcW w:w="2160" w:type="dxa"/>
          </w:tcPr>
          <w:p w14:paraId="66DB3A0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Architecture standards; data standards; procurement standards.</w:t>
            </w:r>
          </w:p>
        </w:tc>
        <w:tc>
          <w:tcPr>
            <w:tcW w:w="2160" w:type="dxa"/>
          </w:tcPr>
          <w:p w14:paraId="034D20E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0F38D3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0C362E2" w14:textId="77777777" w:rsidTr="00B50CB5">
        <w:tc>
          <w:tcPr>
            <w:tcW w:w="2160" w:type="dxa"/>
          </w:tcPr>
          <w:p w14:paraId="1430B55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Sustainability of governance</w:t>
            </w:r>
          </w:p>
        </w:tc>
        <w:tc>
          <w:tcPr>
            <w:tcW w:w="2160" w:type="dxa"/>
          </w:tcPr>
          <w:p w14:paraId="2BAA73C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Succession/hand-over processes; documented operating model; role descriptions.</w:t>
            </w:r>
          </w:p>
        </w:tc>
        <w:tc>
          <w:tcPr>
            <w:tcW w:w="2160" w:type="dxa"/>
          </w:tcPr>
          <w:p w14:paraId="4528353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28F5BD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2B543C8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Domain 3 – Communication for Social &amp; Cultural Change (Indicators C1–C4)</w:t>
      </w:r>
    </w:p>
    <w:p w14:paraId="1EF614AB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Tick and collect the items below as applicable. Where evidence is sensitive, record a redacted version or a summary note describing what exists and who can verify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416"/>
        <w:gridCol w:w="2061"/>
        <w:gridCol w:w="2049"/>
      </w:tblGrid>
      <w:tr w:rsidR="009E69F5" w:rsidRPr="00DE7032" w14:paraId="21FEFB97" w14:textId="77777777" w:rsidTr="00B50CB5">
        <w:tc>
          <w:tcPr>
            <w:tcW w:w="2160" w:type="dxa"/>
          </w:tcPr>
          <w:p w14:paraId="6183A2C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</w:t>
            </w:r>
          </w:p>
        </w:tc>
        <w:tc>
          <w:tcPr>
            <w:tcW w:w="2160" w:type="dxa"/>
          </w:tcPr>
          <w:p w14:paraId="1207E6F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Description / examples</w:t>
            </w:r>
          </w:p>
        </w:tc>
        <w:tc>
          <w:tcPr>
            <w:tcW w:w="2160" w:type="dxa"/>
          </w:tcPr>
          <w:p w14:paraId="54352AB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2160" w:type="dxa"/>
          </w:tcPr>
          <w:p w14:paraId="16B467C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13A6152B" w14:textId="77777777" w:rsidTr="00B50CB5">
        <w:tc>
          <w:tcPr>
            <w:tcW w:w="2160" w:type="dxa"/>
          </w:tcPr>
          <w:p w14:paraId="4E069AB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DT communication plan</w:t>
            </w:r>
          </w:p>
        </w:tc>
        <w:tc>
          <w:tcPr>
            <w:tcW w:w="2160" w:type="dxa"/>
          </w:tcPr>
          <w:p w14:paraId="6E69FD3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Communication plan; messaging calendar; email/newsletter campaigns.</w:t>
            </w:r>
          </w:p>
        </w:tc>
        <w:tc>
          <w:tcPr>
            <w:tcW w:w="2160" w:type="dxa"/>
          </w:tcPr>
          <w:p w14:paraId="7323797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2F8F39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E0FE450" w14:textId="77777777" w:rsidTr="00B50CB5">
        <w:tc>
          <w:tcPr>
            <w:tcW w:w="2160" w:type="dxa"/>
          </w:tcPr>
          <w:p w14:paraId="6586CB4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Two-way engagement evidence</w:t>
            </w:r>
          </w:p>
        </w:tc>
        <w:tc>
          <w:tcPr>
            <w:tcW w:w="2160" w:type="dxa"/>
          </w:tcPr>
          <w:p w14:paraId="7F30D5D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Survey reports; workshop agendas; focus group notes; feedback summaries.</w:t>
            </w:r>
          </w:p>
        </w:tc>
        <w:tc>
          <w:tcPr>
            <w:tcW w:w="2160" w:type="dxa"/>
          </w:tcPr>
          <w:p w14:paraId="0F8815F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2BF403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1B0832BC" w14:textId="77777777" w:rsidTr="00B50CB5">
        <w:tc>
          <w:tcPr>
            <w:tcW w:w="2160" w:type="dxa"/>
          </w:tcPr>
          <w:p w14:paraId="32B692A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Champions network</w:t>
            </w:r>
          </w:p>
        </w:tc>
        <w:tc>
          <w:tcPr>
            <w:tcW w:w="2160" w:type="dxa"/>
          </w:tcPr>
          <w:p w14:paraId="2123DB7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List of digital champions/ambassadors; community of practice activities.</w:t>
            </w:r>
          </w:p>
        </w:tc>
        <w:tc>
          <w:tcPr>
            <w:tcW w:w="2160" w:type="dxa"/>
          </w:tcPr>
          <w:p w14:paraId="77A842A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D12886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78C7256F" w14:textId="77777777" w:rsidTr="00B50CB5">
        <w:tc>
          <w:tcPr>
            <w:tcW w:w="2160" w:type="dxa"/>
          </w:tcPr>
          <w:p w14:paraId="248F232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lastRenderedPageBreak/>
              <w:t>Resistance management</w:t>
            </w:r>
          </w:p>
        </w:tc>
        <w:tc>
          <w:tcPr>
            <w:tcW w:w="2160" w:type="dxa"/>
          </w:tcPr>
          <w:p w14:paraId="224536C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Change impact assessments; FAQs; issues log and resolution actions.</w:t>
            </w:r>
          </w:p>
        </w:tc>
        <w:tc>
          <w:tcPr>
            <w:tcW w:w="2160" w:type="dxa"/>
          </w:tcPr>
          <w:p w14:paraId="5452A04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0DB513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AF40299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Domain 4 – Training &amp; Development (Indicators T1–T5)</w:t>
      </w:r>
    </w:p>
    <w:p w14:paraId="4E145C8E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Tick and collect the items below as applicable. Where evidence is sensitive, record a redacted version or a summary note describing what exists and who can verify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9E69F5" w:rsidRPr="00DE7032" w14:paraId="6288E9E9" w14:textId="77777777" w:rsidTr="00B50CB5">
        <w:tc>
          <w:tcPr>
            <w:tcW w:w="2160" w:type="dxa"/>
          </w:tcPr>
          <w:p w14:paraId="7E2F9D8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</w:t>
            </w:r>
          </w:p>
        </w:tc>
        <w:tc>
          <w:tcPr>
            <w:tcW w:w="2160" w:type="dxa"/>
          </w:tcPr>
          <w:p w14:paraId="03BB647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Description / examples</w:t>
            </w:r>
          </w:p>
        </w:tc>
        <w:tc>
          <w:tcPr>
            <w:tcW w:w="2160" w:type="dxa"/>
          </w:tcPr>
          <w:p w14:paraId="4709FF0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2160" w:type="dxa"/>
          </w:tcPr>
          <w:p w14:paraId="6589623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5A668209" w14:textId="77777777" w:rsidTr="00B50CB5">
        <w:tc>
          <w:tcPr>
            <w:tcW w:w="2160" w:type="dxa"/>
          </w:tcPr>
          <w:p w14:paraId="3982700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Role-based learning pathways</w:t>
            </w:r>
          </w:p>
        </w:tc>
        <w:tc>
          <w:tcPr>
            <w:tcW w:w="2160" w:type="dxa"/>
          </w:tcPr>
          <w:p w14:paraId="5C0FA07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Competency framework; role-based curricula; onboarding modules.</w:t>
            </w:r>
          </w:p>
        </w:tc>
        <w:tc>
          <w:tcPr>
            <w:tcW w:w="2160" w:type="dxa"/>
          </w:tcPr>
          <w:p w14:paraId="5E8BE7B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8456CA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2273F3BC" w14:textId="77777777" w:rsidTr="00B50CB5">
        <w:tc>
          <w:tcPr>
            <w:tcW w:w="2160" w:type="dxa"/>
          </w:tcPr>
          <w:p w14:paraId="299769A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Digital pedagogy development</w:t>
            </w:r>
          </w:p>
        </w:tc>
        <w:tc>
          <w:tcPr>
            <w:tcW w:w="2160" w:type="dxa"/>
          </w:tcPr>
          <w:p w14:paraId="30BD62C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Teaching innovation workshops; course redesign </w:t>
            </w:r>
            <w:proofErr w:type="spellStart"/>
            <w:r w:rsidRPr="00DE7032">
              <w:rPr>
                <w:rFonts w:asciiTheme="majorBidi" w:hAnsiTheme="majorBidi" w:cstheme="majorBidi"/>
              </w:rPr>
              <w:t>programmes</w:t>
            </w:r>
            <w:proofErr w:type="spellEnd"/>
            <w:r w:rsidRPr="00DE7032">
              <w:rPr>
                <w:rFonts w:asciiTheme="majorBidi" w:hAnsiTheme="majorBidi" w:cstheme="majorBidi"/>
              </w:rPr>
              <w:t>; micro-credentials.</w:t>
            </w:r>
          </w:p>
        </w:tc>
        <w:tc>
          <w:tcPr>
            <w:tcW w:w="2160" w:type="dxa"/>
          </w:tcPr>
          <w:p w14:paraId="6C83DCE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9BDD3D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6591A4B" w14:textId="77777777" w:rsidTr="00B50CB5">
        <w:tc>
          <w:tcPr>
            <w:tcW w:w="2160" w:type="dxa"/>
          </w:tcPr>
          <w:p w14:paraId="555A41F8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Support resources</w:t>
            </w:r>
          </w:p>
        </w:tc>
        <w:tc>
          <w:tcPr>
            <w:tcW w:w="2160" w:type="dxa"/>
          </w:tcPr>
          <w:p w14:paraId="02A1BCA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Knowledge base; user manuals; video guides; drop-in clinics schedule.</w:t>
            </w:r>
          </w:p>
        </w:tc>
        <w:tc>
          <w:tcPr>
            <w:tcW w:w="2160" w:type="dxa"/>
          </w:tcPr>
          <w:p w14:paraId="11CF52A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59A2671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27DBFF2" w14:textId="77777777" w:rsidTr="00B50CB5">
        <w:tc>
          <w:tcPr>
            <w:tcW w:w="2160" w:type="dxa"/>
          </w:tcPr>
          <w:p w14:paraId="635299A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Training evaluation</w:t>
            </w:r>
          </w:p>
        </w:tc>
        <w:tc>
          <w:tcPr>
            <w:tcW w:w="2160" w:type="dxa"/>
          </w:tcPr>
          <w:p w14:paraId="72DD261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Pre/post assessments; satisfaction surveys; adoption analytics tied to training.</w:t>
            </w:r>
          </w:p>
        </w:tc>
        <w:tc>
          <w:tcPr>
            <w:tcW w:w="2160" w:type="dxa"/>
          </w:tcPr>
          <w:p w14:paraId="290AD6F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FE655F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342E39AA" w14:textId="77777777" w:rsidTr="00B50CB5">
        <w:tc>
          <w:tcPr>
            <w:tcW w:w="2160" w:type="dxa"/>
          </w:tcPr>
          <w:p w14:paraId="0D399C7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Incentives &amp; time allocation</w:t>
            </w:r>
          </w:p>
        </w:tc>
        <w:tc>
          <w:tcPr>
            <w:tcW w:w="2160" w:type="dxa"/>
          </w:tcPr>
          <w:p w14:paraId="7634CDE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Recognition schemes; workload allocation; professional development policy.</w:t>
            </w:r>
          </w:p>
        </w:tc>
        <w:tc>
          <w:tcPr>
            <w:tcW w:w="2160" w:type="dxa"/>
          </w:tcPr>
          <w:p w14:paraId="62CD2CF4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442727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6C67011A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lastRenderedPageBreak/>
        <w:t>Domain 5 – DT‑Specific Investments (Indicators I1–I6)</w:t>
      </w:r>
    </w:p>
    <w:p w14:paraId="46A23430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Tick and collect the items below as applicable. Where evidence is sensitive, record a redacted version or a summary note describing what exists and who can verify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60"/>
        <w:gridCol w:w="2157"/>
        <w:gridCol w:w="2156"/>
      </w:tblGrid>
      <w:tr w:rsidR="009E69F5" w:rsidRPr="00DE7032" w14:paraId="5585AE59" w14:textId="77777777" w:rsidTr="00B50CB5">
        <w:tc>
          <w:tcPr>
            <w:tcW w:w="2160" w:type="dxa"/>
          </w:tcPr>
          <w:p w14:paraId="57B8E516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Evidence item</w:t>
            </w:r>
          </w:p>
        </w:tc>
        <w:tc>
          <w:tcPr>
            <w:tcW w:w="2160" w:type="dxa"/>
          </w:tcPr>
          <w:p w14:paraId="6B395A0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Description / examples</w:t>
            </w:r>
          </w:p>
        </w:tc>
        <w:tc>
          <w:tcPr>
            <w:tcW w:w="2160" w:type="dxa"/>
          </w:tcPr>
          <w:p w14:paraId="1240957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2160" w:type="dxa"/>
          </w:tcPr>
          <w:p w14:paraId="52B3C47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4C1A71D8" w14:textId="77777777" w:rsidTr="00B50CB5">
        <w:tc>
          <w:tcPr>
            <w:tcW w:w="2160" w:type="dxa"/>
          </w:tcPr>
          <w:p w14:paraId="047E7C5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Platform stack coverage</w:t>
            </w:r>
          </w:p>
        </w:tc>
        <w:tc>
          <w:tcPr>
            <w:tcW w:w="2160" w:type="dxa"/>
          </w:tcPr>
          <w:p w14:paraId="0375516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Inventory of LMS/SIS/ERP/CRM; lifecycle and ownership.</w:t>
            </w:r>
          </w:p>
        </w:tc>
        <w:tc>
          <w:tcPr>
            <w:tcW w:w="2160" w:type="dxa"/>
          </w:tcPr>
          <w:p w14:paraId="46BFB10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2F8567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3388C4E2" w14:textId="77777777" w:rsidTr="00B50CB5">
        <w:tc>
          <w:tcPr>
            <w:tcW w:w="2160" w:type="dxa"/>
          </w:tcPr>
          <w:p w14:paraId="2D8E380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Integration &amp; identity</w:t>
            </w:r>
          </w:p>
        </w:tc>
        <w:tc>
          <w:tcPr>
            <w:tcW w:w="2160" w:type="dxa"/>
          </w:tcPr>
          <w:p w14:paraId="4408F04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SSO architecture; API catalogue; integration middleware documentation.</w:t>
            </w:r>
          </w:p>
        </w:tc>
        <w:tc>
          <w:tcPr>
            <w:tcW w:w="2160" w:type="dxa"/>
          </w:tcPr>
          <w:p w14:paraId="25F6144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C73DA4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34AB62D7" w14:textId="77777777" w:rsidTr="00B50CB5">
        <w:tc>
          <w:tcPr>
            <w:tcW w:w="2160" w:type="dxa"/>
          </w:tcPr>
          <w:p w14:paraId="20F5E0D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Cloud strategy &amp; operations</w:t>
            </w:r>
          </w:p>
        </w:tc>
        <w:tc>
          <w:tcPr>
            <w:tcW w:w="2160" w:type="dxa"/>
          </w:tcPr>
          <w:p w14:paraId="13BFE15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 xml:space="preserve">Cloud policy; migration plan; cost </w:t>
            </w:r>
            <w:proofErr w:type="spellStart"/>
            <w:r w:rsidRPr="00DE7032">
              <w:rPr>
                <w:rFonts w:asciiTheme="majorBidi" w:hAnsiTheme="majorBidi" w:cstheme="majorBidi"/>
              </w:rPr>
              <w:t>optimisation</w:t>
            </w:r>
            <w:proofErr w:type="spellEnd"/>
            <w:r w:rsidRPr="00DE7032">
              <w:rPr>
                <w:rFonts w:asciiTheme="majorBidi" w:hAnsiTheme="majorBidi" w:cstheme="majorBidi"/>
              </w:rPr>
              <w:t xml:space="preserve"> reports.</w:t>
            </w:r>
          </w:p>
        </w:tc>
        <w:tc>
          <w:tcPr>
            <w:tcW w:w="2160" w:type="dxa"/>
          </w:tcPr>
          <w:p w14:paraId="4335824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6D3C14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6F3425C" w14:textId="77777777" w:rsidTr="00B50CB5">
        <w:tc>
          <w:tcPr>
            <w:tcW w:w="2160" w:type="dxa"/>
          </w:tcPr>
          <w:p w14:paraId="2DFBB10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Cybersecurity &amp; privacy</w:t>
            </w:r>
          </w:p>
        </w:tc>
        <w:tc>
          <w:tcPr>
            <w:tcW w:w="2160" w:type="dxa"/>
          </w:tcPr>
          <w:p w14:paraId="2BC3ABC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Security architecture; audits; awareness campaigns; incident reports (redacted).</w:t>
            </w:r>
          </w:p>
        </w:tc>
        <w:tc>
          <w:tcPr>
            <w:tcW w:w="2160" w:type="dxa"/>
          </w:tcPr>
          <w:p w14:paraId="0CA2587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B27F51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1614A3E" w14:textId="77777777" w:rsidTr="00B50CB5">
        <w:tc>
          <w:tcPr>
            <w:tcW w:w="2160" w:type="dxa"/>
          </w:tcPr>
          <w:p w14:paraId="4D45A1A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Data &amp; analytics capability</w:t>
            </w:r>
          </w:p>
        </w:tc>
        <w:tc>
          <w:tcPr>
            <w:tcW w:w="2160" w:type="dxa"/>
          </w:tcPr>
          <w:p w14:paraId="03587D6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Data dictionary; BI architecture; dashboard catalogue; data governance minutes.</w:t>
            </w:r>
          </w:p>
        </w:tc>
        <w:tc>
          <w:tcPr>
            <w:tcW w:w="2160" w:type="dxa"/>
          </w:tcPr>
          <w:p w14:paraId="74CEE507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03521D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69AB4958" w14:textId="77777777" w:rsidTr="00B50CB5">
        <w:tc>
          <w:tcPr>
            <w:tcW w:w="2160" w:type="dxa"/>
          </w:tcPr>
          <w:p w14:paraId="1C6A0B6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Emerging tech governance</w:t>
            </w:r>
          </w:p>
        </w:tc>
        <w:tc>
          <w:tcPr>
            <w:tcW w:w="2160" w:type="dxa"/>
          </w:tcPr>
          <w:p w14:paraId="2B4386C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AI/VR pilots with ethical/pedagogical review; model governance; evaluation reports.</w:t>
            </w:r>
          </w:p>
        </w:tc>
        <w:tc>
          <w:tcPr>
            <w:tcW w:w="2160" w:type="dxa"/>
          </w:tcPr>
          <w:p w14:paraId="5896EB9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0D8010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6B29A7D5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Domain 6 – Ecosystem Partnerships &amp; Vendor Management (Indicators P1–P5)</w:t>
      </w:r>
    </w:p>
    <w:p w14:paraId="381881AD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Tick and collect the items below as applicable. Where evidence is sensitive, record a redacted version or a summary note describing what exists and who can verify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9E69F5" w:rsidRPr="00DE7032" w14:paraId="2187DE0D" w14:textId="77777777" w:rsidTr="00B50CB5">
        <w:tc>
          <w:tcPr>
            <w:tcW w:w="2160" w:type="dxa"/>
          </w:tcPr>
          <w:p w14:paraId="1F33A7E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lastRenderedPageBreak/>
              <w:t>Evidence item</w:t>
            </w:r>
          </w:p>
        </w:tc>
        <w:tc>
          <w:tcPr>
            <w:tcW w:w="2160" w:type="dxa"/>
          </w:tcPr>
          <w:p w14:paraId="1BBC615F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Description / examples</w:t>
            </w:r>
          </w:p>
        </w:tc>
        <w:tc>
          <w:tcPr>
            <w:tcW w:w="2160" w:type="dxa"/>
          </w:tcPr>
          <w:p w14:paraId="24F02BF1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Collected? (Y/N)</w:t>
            </w:r>
          </w:p>
        </w:tc>
        <w:tc>
          <w:tcPr>
            <w:tcW w:w="2160" w:type="dxa"/>
          </w:tcPr>
          <w:p w14:paraId="2CD2796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Link / reference / notes</w:t>
            </w:r>
          </w:p>
        </w:tc>
      </w:tr>
      <w:tr w:rsidR="009E69F5" w:rsidRPr="00DE7032" w14:paraId="5670E620" w14:textId="77777777" w:rsidTr="00B50CB5">
        <w:tc>
          <w:tcPr>
            <w:tcW w:w="2160" w:type="dxa"/>
          </w:tcPr>
          <w:p w14:paraId="745E61B3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Partnering strategy</w:t>
            </w:r>
          </w:p>
        </w:tc>
        <w:tc>
          <w:tcPr>
            <w:tcW w:w="2160" w:type="dxa"/>
          </w:tcPr>
          <w:p w14:paraId="63D70D1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Build vs buy policy; partnership selection criteria; interoperability principles.</w:t>
            </w:r>
          </w:p>
        </w:tc>
        <w:tc>
          <w:tcPr>
            <w:tcW w:w="2160" w:type="dxa"/>
          </w:tcPr>
          <w:p w14:paraId="4C1DBE9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2C265AA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4352BAF2" w14:textId="77777777" w:rsidTr="00B50CB5">
        <w:tc>
          <w:tcPr>
            <w:tcW w:w="2160" w:type="dxa"/>
          </w:tcPr>
          <w:p w14:paraId="4439469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Contracting &amp; SLAs</w:t>
            </w:r>
          </w:p>
        </w:tc>
        <w:tc>
          <w:tcPr>
            <w:tcW w:w="2160" w:type="dxa"/>
          </w:tcPr>
          <w:p w14:paraId="64552CEC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Service agreements; uptime commitments; support response metrics.</w:t>
            </w:r>
          </w:p>
        </w:tc>
        <w:tc>
          <w:tcPr>
            <w:tcW w:w="2160" w:type="dxa"/>
          </w:tcPr>
          <w:p w14:paraId="32A94A6D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239918A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7AEBAAE1" w14:textId="77777777" w:rsidTr="00B50CB5">
        <w:tc>
          <w:tcPr>
            <w:tcW w:w="2160" w:type="dxa"/>
          </w:tcPr>
          <w:p w14:paraId="57DAA35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Vendor performance reviews</w:t>
            </w:r>
          </w:p>
        </w:tc>
        <w:tc>
          <w:tcPr>
            <w:tcW w:w="2160" w:type="dxa"/>
          </w:tcPr>
          <w:p w14:paraId="79B8264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Quarterly review minutes; vendor scorecards; issue logs.</w:t>
            </w:r>
          </w:p>
        </w:tc>
        <w:tc>
          <w:tcPr>
            <w:tcW w:w="2160" w:type="dxa"/>
          </w:tcPr>
          <w:p w14:paraId="28A05E90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2B5870C9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0126375B" w14:textId="77777777" w:rsidTr="00B50CB5">
        <w:tc>
          <w:tcPr>
            <w:tcW w:w="2160" w:type="dxa"/>
          </w:tcPr>
          <w:p w14:paraId="3E076E1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Capability transfer</w:t>
            </w:r>
          </w:p>
        </w:tc>
        <w:tc>
          <w:tcPr>
            <w:tcW w:w="2160" w:type="dxa"/>
          </w:tcPr>
          <w:p w14:paraId="3E17B8BB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Train-the-trainer documentation; knowledge transfer plans; co-development artefacts.</w:t>
            </w:r>
          </w:p>
        </w:tc>
        <w:tc>
          <w:tcPr>
            <w:tcW w:w="2160" w:type="dxa"/>
          </w:tcPr>
          <w:p w14:paraId="2F16BD3E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666CF2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E69F5" w:rsidRPr="00DE7032" w14:paraId="5934284A" w14:textId="77777777" w:rsidTr="00B50CB5">
        <w:tc>
          <w:tcPr>
            <w:tcW w:w="2160" w:type="dxa"/>
          </w:tcPr>
          <w:p w14:paraId="32266145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Exit and lock-in mitigation</w:t>
            </w:r>
          </w:p>
        </w:tc>
        <w:tc>
          <w:tcPr>
            <w:tcW w:w="2160" w:type="dxa"/>
          </w:tcPr>
          <w:p w14:paraId="056E6B4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  <w:r w:rsidRPr="00DE7032">
              <w:rPr>
                <w:rFonts w:asciiTheme="majorBidi" w:hAnsiTheme="majorBidi" w:cstheme="majorBidi"/>
              </w:rPr>
              <w:t>Data portability plan; exit clauses; multi-vendor benchmarking.</w:t>
            </w:r>
          </w:p>
        </w:tc>
        <w:tc>
          <w:tcPr>
            <w:tcW w:w="2160" w:type="dxa"/>
          </w:tcPr>
          <w:p w14:paraId="78169EFA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6DDE202" w14:textId="77777777" w:rsidR="009E69F5" w:rsidRPr="00DE7032" w:rsidRDefault="009E69F5" w:rsidP="00B50CB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0FA7640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t>B. Data preparation guidance (good practice)</w:t>
      </w:r>
    </w:p>
    <w:p w14:paraId="63974725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 xml:space="preserve">Use </w:t>
      </w:r>
      <w:proofErr w:type="gramStart"/>
      <w:r w:rsidRPr="00DE7032">
        <w:rPr>
          <w:rFonts w:asciiTheme="majorBidi" w:hAnsiTheme="majorBidi" w:cstheme="majorBidi"/>
        </w:rPr>
        <w:t>a single evidence</w:t>
      </w:r>
      <w:proofErr w:type="gramEnd"/>
      <w:r w:rsidRPr="00DE7032">
        <w:rPr>
          <w:rFonts w:asciiTheme="majorBidi" w:hAnsiTheme="majorBidi" w:cstheme="majorBidi"/>
        </w:rPr>
        <w:t xml:space="preserve"> register (spreadsheet or table) to index documents with a short ID (e.g., STR‑01, GOV‑03) and link each artefact to the relevant indicator ID(s) used in the Scoring Template (e.g., S1, G3).</w:t>
      </w:r>
    </w:p>
    <w:p w14:paraId="3D9144BC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Record version/date for each artefact; keep the latest approved version where possible.</w:t>
      </w:r>
    </w:p>
    <w:p w14:paraId="0906C887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Where evidence is web-based (portals), capture screenshots with date stamps for traceability.</w:t>
      </w:r>
    </w:p>
    <w:p w14:paraId="6447898E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For analytics evidence (dashboards), export summary views (PDF/image) and record the data period covered.</w:t>
      </w:r>
    </w:p>
    <w:p w14:paraId="2774F45D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For policies and minutes, include signatures/approval markers if available.</w:t>
      </w:r>
    </w:p>
    <w:p w14:paraId="4CCF5D37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Redact personal data before sharing evidence beyond the assessment group.</w:t>
      </w:r>
    </w:p>
    <w:p w14:paraId="4A37E11E" w14:textId="77777777" w:rsidR="009E69F5" w:rsidRPr="00DE7032" w:rsidRDefault="009E69F5" w:rsidP="009E69F5">
      <w:pPr>
        <w:pStyle w:val="Heading1"/>
        <w:jc w:val="both"/>
        <w:rPr>
          <w:rFonts w:asciiTheme="majorBidi" w:hAnsiTheme="majorBidi"/>
        </w:rPr>
      </w:pPr>
      <w:r w:rsidRPr="00DE7032">
        <w:rPr>
          <w:rFonts w:asciiTheme="majorBidi" w:hAnsiTheme="majorBidi"/>
        </w:rPr>
        <w:lastRenderedPageBreak/>
        <w:t>References (Harvard)</w:t>
      </w:r>
    </w:p>
    <w:p w14:paraId="5CC42971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proofErr w:type="spellStart"/>
      <w:r w:rsidRPr="00DE7032">
        <w:rPr>
          <w:rFonts w:asciiTheme="majorBidi" w:hAnsiTheme="majorBidi" w:cstheme="majorBidi"/>
        </w:rPr>
        <w:t>Armenakis</w:t>
      </w:r>
      <w:proofErr w:type="spellEnd"/>
      <w:r w:rsidRPr="00DE7032">
        <w:rPr>
          <w:rFonts w:asciiTheme="majorBidi" w:hAnsiTheme="majorBidi" w:cstheme="majorBidi"/>
        </w:rPr>
        <w:t>, A.A. and Harris, S.G. (2002) ‘Crafting a change message to create transformational readiness’, Journal of Organizational Change Management, 15(2), pp. 169–183.</w:t>
      </w:r>
    </w:p>
    <w:p w14:paraId="6C76C351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proofErr w:type="spellStart"/>
      <w:r w:rsidRPr="00DE7032">
        <w:rPr>
          <w:rFonts w:asciiTheme="majorBidi" w:hAnsiTheme="majorBidi" w:cstheme="majorBidi"/>
        </w:rPr>
        <w:t>DeLone</w:t>
      </w:r>
      <w:proofErr w:type="spellEnd"/>
      <w:r w:rsidRPr="00DE7032">
        <w:rPr>
          <w:rFonts w:asciiTheme="majorBidi" w:hAnsiTheme="majorBidi" w:cstheme="majorBidi"/>
        </w:rPr>
        <w:t xml:space="preserve">, W.H. and McLean, E.R. (2003) ‘The </w:t>
      </w:r>
      <w:proofErr w:type="spellStart"/>
      <w:r w:rsidRPr="00DE7032">
        <w:rPr>
          <w:rFonts w:asciiTheme="majorBidi" w:hAnsiTheme="majorBidi" w:cstheme="majorBidi"/>
        </w:rPr>
        <w:t>DeLone</w:t>
      </w:r>
      <w:proofErr w:type="spellEnd"/>
      <w:r w:rsidRPr="00DE7032">
        <w:rPr>
          <w:rFonts w:asciiTheme="majorBidi" w:hAnsiTheme="majorBidi" w:cstheme="majorBidi"/>
        </w:rPr>
        <w:t xml:space="preserve"> and McLean model of information systems success: A ten-year update’, Journal of Management Information Systems, 19(4), pp. 9–30.</w:t>
      </w:r>
    </w:p>
    <w:p w14:paraId="232FF084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Dyer, J.H. and Singh, H. (1998) ‘The relational view: Cooperative strategy and sources of interorganizational competitive advantage’, Academy of Management Review, 23(4), pp. 660–679.</w:t>
      </w:r>
    </w:p>
    <w:p w14:paraId="012AB5A0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Kotter, J.P. (2012) Leading Change. Boston, MA: Harvard Business Review Press.</w:t>
      </w:r>
    </w:p>
    <w:p w14:paraId="5E865B0B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 xml:space="preserve">Miles, M.B., Huberman, A.M. and Saldaña, J. (2014) Qualitative Data Analysis: A Methods Sourcebook. 3rd </w:t>
      </w:r>
      <w:proofErr w:type="spellStart"/>
      <w:r w:rsidRPr="00DE7032">
        <w:rPr>
          <w:rFonts w:asciiTheme="majorBidi" w:hAnsiTheme="majorBidi" w:cstheme="majorBidi"/>
        </w:rPr>
        <w:t>edn</w:t>
      </w:r>
      <w:proofErr w:type="spellEnd"/>
      <w:r w:rsidRPr="00DE7032">
        <w:rPr>
          <w:rFonts w:asciiTheme="majorBidi" w:hAnsiTheme="majorBidi" w:cstheme="majorBidi"/>
        </w:rPr>
        <w:t>. Thousand Oaks, CA: Sage.</w:t>
      </w:r>
    </w:p>
    <w:p w14:paraId="635F9D5F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  <w:lang w:val="fr-FR"/>
        </w:rPr>
        <w:t xml:space="preserve">Paulk, M.C. et al. </w:t>
      </w:r>
      <w:r w:rsidRPr="00DE7032">
        <w:rPr>
          <w:rFonts w:asciiTheme="majorBidi" w:hAnsiTheme="majorBidi" w:cstheme="majorBidi"/>
        </w:rPr>
        <w:t>(1993) Capability Maturity Model for Software, Version 1.1. Technical Report CMU/SEI‑93‑TR‑24. Pittsburgh, PA: SEI, Carnegie Mellon University.</w:t>
      </w:r>
    </w:p>
    <w:p w14:paraId="66252BC9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 xml:space="preserve">Teece, D.J. (2007) ‘Explicating dynamic capabilities: The nature and </w:t>
      </w:r>
      <w:proofErr w:type="spellStart"/>
      <w:r w:rsidRPr="00DE7032">
        <w:rPr>
          <w:rFonts w:asciiTheme="majorBidi" w:hAnsiTheme="majorBidi" w:cstheme="majorBidi"/>
        </w:rPr>
        <w:t>microfoundations</w:t>
      </w:r>
      <w:proofErr w:type="spellEnd"/>
      <w:r w:rsidRPr="00DE7032">
        <w:rPr>
          <w:rFonts w:asciiTheme="majorBidi" w:hAnsiTheme="majorBidi" w:cstheme="majorBidi"/>
        </w:rPr>
        <w:t xml:space="preserve"> of (sustainable) enterprise performance’, Strategic Management Journal, 28(13), pp. 1319–1350.</w:t>
      </w:r>
    </w:p>
    <w:p w14:paraId="3B0DBBE6" w14:textId="77777777" w:rsidR="009E69F5" w:rsidRPr="00DE7032" w:rsidRDefault="009E69F5" w:rsidP="009E69F5">
      <w:pPr>
        <w:pStyle w:val="ListBullet"/>
        <w:tabs>
          <w:tab w:val="num" w:pos="360"/>
        </w:tabs>
        <w:ind w:left="360" w:hanging="360"/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Venkatesh, V. et al. (2003) ‘User acceptance of information technology: Toward a unified view’, MIS Quarterly, 27(3), pp. 425–478.</w:t>
      </w:r>
    </w:p>
    <w:p w14:paraId="18EE4664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>Wendler, R. (2012) ‘The maturity of maturity model research: A systematic mapping study’, Information and Software Technology, 54(12), pp. 1317–1339.</w:t>
      </w:r>
    </w:p>
    <w:p w14:paraId="080F2A05" w14:textId="77777777" w:rsidR="009E69F5" w:rsidRPr="00DE7032" w:rsidRDefault="009E69F5" w:rsidP="009E69F5">
      <w:pPr>
        <w:jc w:val="both"/>
        <w:rPr>
          <w:rFonts w:asciiTheme="majorBidi" w:hAnsiTheme="majorBidi" w:cstheme="majorBidi"/>
        </w:rPr>
      </w:pPr>
      <w:r w:rsidRPr="00DE7032">
        <w:rPr>
          <w:rFonts w:asciiTheme="majorBidi" w:hAnsiTheme="majorBidi" w:cstheme="majorBidi"/>
        </w:rPr>
        <w:t xml:space="preserve">Yin, R.K. (2014) Case Study Research: Design and Methods. 5th </w:t>
      </w:r>
      <w:proofErr w:type="spellStart"/>
      <w:r w:rsidRPr="00DE7032">
        <w:rPr>
          <w:rFonts w:asciiTheme="majorBidi" w:hAnsiTheme="majorBidi" w:cstheme="majorBidi"/>
        </w:rPr>
        <w:t>edn</w:t>
      </w:r>
      <w:proofErr w:type="spellEnd"/>
      <w:r w:rsidRPr="00DE7032">
        <w:rPr>
          <w:rFonts w:asciiTheme="majorBidi" w:hAnsiTheme="majorBidi" w:cstheme="majorBidi"/>
        </w:rPr>
        <w:t>. Thousand Oaks, CA: Sage.</w:t>
      </w:r>
    </w:p>
    <w:p w14:paraId="6F5DFE2D" w14:textId="77777777" w:rsidR="009E69F5" w:rsidRDefault="009E69F5"/>
    <w:sectPr w:rsidR="009E69F5" w:rsidSect="009E69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44E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95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F5"/>
    <w:rsid w:val="009E69F5"/>
    <w:rsid w:val="00D8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046C"/>
  <w15:chartTrackingRefBased/>
  <w15:docId w15:val="{7EF0445B-0F52-486F-BB3B-EFEA44A5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F5"/>
    <w:pPr>
      <w:spacing w:after="120" w:line="276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9F5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E69F5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9E69F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 ALKHAJA</dc:creator>
  <cp:keywords/>
  <dc:description/>
  <cp:lastModifiedBy>ABDULLA  ALKHAJA</cp:lastModifiedBy>
  <cp:revision>1</cp:revision>
  <dcterms:created xsi:type="dcterms:W3CDTF">2026-06-01T13:37:00Z</dcterms:created>
  <dcterms:modified xsi:type="dcterms:W3CDTF">2026-06-01T13:38:00Z</dcterms:modified>
</cp:coreProperties>
</file>