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F9BD"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b/>
          <w:sz w:val="32"/>
        </w:rPr>
        <w:t>SDTF‑HEI Institutional Capacity Self‑Assessment Toolkit</w:t>
      </w:r>
    </w:p>
    <w:p w14:paraId="6DDF83AD"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i/>
        </w:rPr>
        <w:t>Instrument 1: Self‑Assessment Guide (Six‑Enabler Capability Rubric)</w:t>
      </w:r>
    </w:p>
    <w:p w14:paraId="32CB70A5" w14:textId="77777777" w:rsidR="00FB432E" w:rsidRPr="000E3561" w:rsidRDefault="00FB432E" w:rsidP="000E3561">
      <w:pPr>
        <w:jc w:val="both"/>
        <w:rPr>
          <w:rFonts w:asciiTheme="majorBidi" w:hAnsiTheme="majorBidi" w:cstheme="majorBidi"/>
        </w:rPr>
      </w:pPr>
    </w:p>
    <w:p w14:paraId="41AD456E" w14:textId="77777777" w:rsidR="00FB432E" w:rsidRPr="000E3561" w:rsidRDefault="00000000" w:rsidP="000E3561">
      <w:pPr>
        <w:pStyle w:val="Heading1"/>
        <w:jc w:val="both"/>
        <w:rPr>
          <w:rFonts w:asciiTheme="majorBidi" w:hAnsiTheme="majorBidi"/>
        </w:rPr>
      </w:pPr>
      <w:r w:rsidRPr="000E3561">
        <w:rPr>
          <w:rFonts w:asciiTheme="majorBidi" w:hAnsiTheme="majorBidi"/>
        </w:rPr>
        <w:t>A. Purpose and scope</w:t>
      </w:r>
    </w:p>
    <w:p w14:paraId="2F4D5E7C"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This guide supports Higher Education Institutions (HEIs) to conduct an evidence‑based self‑assessment of institutional capacity across the six SDTF‑HE enablers that enable Digital Adoption and, through adoption, successful digital transformation (DT). The toolkit is developmental (gap diagnosis and improvement planning) rather than evaluative (ranking or compliance).</w:t>
      </w:r>
    </w:p>
    <w:p w14:paraId="462E8680" w14:textId="77777777" w:rsidR="00FB432E" w:rsidRPr="000E3561" w:rsidRDefault="00000000" w:rsidP="000E3561">
      <w:pPr>
        <w:pStyle w:val="Heading2"/>
        <w:jc w:val="both"/>
        <w:rPr>
          <w:rFonts w:asciiTheme="majorBidi" w:hAnsiTheme="majorBidi"/>
        </w:rPr>
      </w:pPr>
      <w:r w:rsidRPr="000E3561">
        <w:rPr>
          <w:rFonts w:asciiTheme="majorBidi" w:hAnsiTheme="majorBidi"/>
        </w:rPr>
        <w:t>A1. What this toolkit assesses</w:t>
      </w:r>
    </w:p>
    <w:p w14:paraId="01EAB2F9"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Institutional capacities that the HEI can shape and manage (strategy, governance, culture/communication, training, digital investments, ecosystem partnerships).</w:t>
      </w:r>
    </w:p>
    <w:p w14:paraId="23E09F19"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The maturity of each capacity as evidenced by artefacts, data, and routine practices (not by aspirational statements).</w:t>
      </w:r>
    </w:p>
    <w:p w14:paraId="7B44551A"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Strengths and gaps that plausibly affect the HEI’s ability to sustain Digital Adoption and improvement cycles.</w:t>
      </w:r>
    </w:p>
    <w:p w14:paraId="0781C12E" w14:textId="77777777" w:rsidR="00FB432E" w:rsidRPr="000E3561" w:rsidRDefault="00000000" w:rsidP="000E3561">
      <w:pPr>
        <w:pStyle w:val="Heading2"/>
        <w:jc w:val="both"/>
        <w:rPr>
          <w:rFonts w:asciiTheme="majorBidi" w:hAnsiTheme="majorBidi"/>
        </w:rPr>
      </w:pPr>
      <w:r w:rsidRPr="000E3561">
        <w:rPr>
          <w:rFonts w:asciiTheme="majorBidi" w:hAnsiTheme="majorBidi"/>
        </w:rPr>
        <w:t>A2. What this toolkit does not assess</w:t>
      </w:r>
    </w:p>
    <w:p w14:paraId="17DCC99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It does not directly score final DT outcomes (e.g., student satisfaction, cost savings) as ‘performance’ measures; those belong to Monitoring &amp; Feedback and institutional KPI systems.</w:t>
      </w:r>
    </w:p>
    <w:p w14:paraId="0C2DA0F0"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It is not an audit of a single system (e.g., LMS) but a cross‑capability assessment that recognises DT as socio‑technical change.</w:t>
      </w:r>
    </w:p>
    <w:p w14:paraId="4D83C1D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It is not a substitute for external accreditation or national digital maturity assessments.</w:t>
      </w:r>
    </w:p>
    <w:p w14:paraId="52AF7CB0" w14:textId="77777777" w:rsidR="00FB432E" w:rsidRPr="000E3561" w:rsidRDefault="00000000" w:rsidP="000E3561">
      <w:pPr>
        <w:pStyle w:val="Heading1"/>
        <w:jc w:val="both"/>
        <w:rPr>
          <w:rFonts w:asciiTheme="majorBidi" w:hAnsiTheme="majorBidi"/>
        </w:rPr>
      </w:pPr>
      <w:r w:rsidRPr="000E3561">
        <w:rPr>
          <w:rFonts w:asciiTheme="majorBidi" w:hAnsiTheme="majorBidi"/>
        </w:rPr>
        <w:t>B. Who should use it</w:t>
      </w:r>
    </w:p>
    <w:p w14:paraId="314F5F41"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The toolkit is intended for senior and operational leaders involved in DT governance and delivery, including (as applicable): President/Chancellor, Vice President/Provost (Academic Affairs), CIO/IT Director, Quality/Institutional Effectiveness, Student Affairs, Admissions &amp; Registration, and HR/People Development.</w:t>
      </w:r>
    </w:p>
    <w:p w14:paraId="4D0608FE" w14:textId="77777777" w:rsidR="00FB432E" w:rsidRPr="000E3561" w:rsidRDefault="00000000" w:rsidP="000E3561">
      <w:pPr>
        <w:pStyle w:val="Heading1"/>
        <w:jc w:val="both"/>
        <w:rPr>
          <w:rFonts w:asciiTheme="majorBidi" w:hAnsiTheme="majorBidi"/>
        </w:rPr>
      </w:pPr>
      <w:r w:rsidRPr="000E3561">
        <w:rPr>
          <w:rFonts w:asciiTheme="majorBidi" w:hAnsiTheme="majorBidi"/>
        </w:rPr>
        <w:t>C. Administration protocol</w:t>
      </w:r>
    </w:p>
    <w:p w14:paraId="7B93E3F1"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Recommended approach for credible scoring (minimum standard):</w:t>
      </w:r>
    </w:p>
    <w:p w14:paraId="739C956D"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lastRenderedPageBreak/>
        <w:t>Form an assessment group (6–10 members) representing academic, administrative, and digital service perspectives.</w:t>
      </w:r>
    </w:p>
    <w:p w14:paraId="591D609F"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Nominate a facilitator and an evidence coordinator (can be the same person in small institutions).</w:t>
      </w:r>
    </w:p>
    <w:p w14:paraId="57108E80"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Collect evidence first (documents, dashboards, logs, minutes, screenshots). Avoid scoring “from memory”.</w:t>
      </w:r>
    </w:p>
    <w:p w14:paraId="31379D11"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Score indicator‑by‑indicator in a structured workshop (or two shorter sessions).</w:t>
      </w:r>
    </w:p>
    <w:p w14:paraId="3D91637A"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Record the score, evidence reference(s), and brief justification for each indicator.</w:t>
      </w:r>
    </w:p>
    <w:p w14:paraId="0DA2120B"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Compute domain and overall averages, then identify 3–6 priority gaps.</w:t>
      </w:r>
    </w:p>
    <w:p w14:paraId="1D9AF7DB"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Optional (recommended): repeat the assessment every 6–12 months to track capability movement over time.</w:t>
      </w:r>
    </w:p>
    <w:p w14:paraId="5D234773" w14:textId="77777777" w:rsidR="00FB432E" w:rsidRPr="000E3561" w:rsidRDefault="00000000" w:rsidP="000E3561">
      <w:pPr>
        <w:pStyle w:val="Heading2"/>
        <w:jc w:val="both"/>
        <w:rPr>
          <w:rFonts w:asciiTheme="majorBidi" w:hAnsiTheme="majorBidi"/>
        </w:rPr>
      </w:pPr>
      <w:r w:rsidRPr="000E3561">
        <w:rPr>
          <w:rFonts w:asciiTheme="majorBidi" w:hAnsiTheme="majorBidi"/>
        </w:rPr>
        <w:t>C1. Evidence rule (discipline for scoring)</w:t>
      </w:r>
    </w:p>
    <w:p w14:paraId="2D78FE24"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A score of **3 (Established)** or **4 (Optimising)** should only be awarded when the practice is demonstrably implemented across relevant units (institution‑wide or clearly scaled), and not confined to a single department, individual champion, or pilot.</w:t>
      </w:r>
    </w:p>
    <w:p w14:paraId="15BA6C1E" w14:textId="77777777" w:rsidR="00FB432E" w:rsidRPr="000E3561" w:rsidRDefault="00000000" w:rsidP="000E3561">
      <w:pPr>
        <w:pStyle w:val="Heading1"/>
        <w:jc w:val="both"/>
        <w:rPr>
          <w:rFonts w:asciiTheme="majorBidi" w:hAnsiTheme="majorBidi"/>
        </w:rPr>
      </w:pPr>
      <w:r w:rsidRPr="000E3561">
        <w:rPr>
          <w:rFonts w:asciiTheme="majorBidi" w:hAnsiTheme="majorBidi"/>
        </w:rPr>
        <w:t>D. Rating scale (four‑level capacity scale)</w:t>
      </w:r>
    </w:p>
    <w:tbl>
      <w:tblPr>
        <w:tblStyle w:val="TableGrid"/>
        <w:tblW w:w="0" w:type="auto"/>
        <w:tblLook w:val="04A0" w:firstRow="1" w:lastRow="0" w:firstColumn="1" w:lastColumn="0" w:noHBand="0" w:noVBand="1"/>
      </w:tblPr>
      <w:tblGrid>
        <w:gridCol w:w="2160"/>
        <w:gridCol w:w="2160"/>
        <w:gridCol w:w="2160"/>
        <w:gridCol w:w="2160"/>
      </w:tblGrid>
      <w:tr w:rsidR="00FB432E" w:rsidRPr="000E3561" w14:paraId="5B271488" w14:textId="77777777">
        <w:tc>
          <w:tcPr>
            <w:tcW w:w="2160" w:type="dxa"/>
          </w:tcPr>
          <w:p w14:paraId="2BD287DA"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Level</w:t>
            </w:r>
          </w:p>
        </w:tc>
        <w:tc>
          <w:tcPr>
            <w:tcW w:w="2160" w:type="dxa"/>
          </w:tcPr>
          <w:p w14:paraId="46B27E9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Label</w:t>
            </w:r>
          </w:p>
        </w:tc>
        <w:tc>
          <w:tcPr>
            <w:tcW w:w="2160" w:type="dxa"/>
          </w:tcPr>
          <w:p w14:paraId="48AEB91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Narrative descriptor</w:t>
            </w:r>
          </w:p>
        </w:tc>
        <w:tc>
          <w:tcPr>
            <w:tcW w:w="2160" w:type="dxa"/>
          </w:tcPr>
          <w:p w14:paraId="71FEE86A"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Typical evidence signals (examples)</w:t>
            </w:r>
          </w:p>
        </w:tc>
      </w:tr>
      <w:tr w:rsidR="00FB432E" w:rsidRPr="000E3561" w14:paraId="1213A290" w14:textId="77777777">
        <w:tc>
          <w:tcPr>
            <w:tcW w:w="2160" w:type="dxa"/>
          </w:tcPr>
          <w:p w14:paraId="054B802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1</w:t>
            </w:r>
          </w:p>
        </w:tc>
        <w:tc>
          <w:tcPr>
            <w:tcW w:w="2160" w:type="dxa"/>
          </w:tcPr>
          <w:p w14:paraId="3C7FE402"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Ad‑hoc</w:t>
            </w:r>
          </w:p>
        </w:tc>
        <w:tc>
          <w:tcPr>
            <w:tcW w:w="2160" w:type="dxa"/>
          </w:tcPr>
          <w:p w14:paraId="115AEF08"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Activities are isolated; dependent on individuals; limited documentation and data.</w:t>
            </w:r>
          </w:p>
        </w:tc>
        <w:tc>
          <w:tcPr>
            <w:tcW w:w="2160" w:type="dxa"/>
          </w:tcPr>
          <w:p w14:paraId="6890B24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Informal practices; inconsistent delivery; no routine reporting; reliance on personal knowledge.</w:t>
            </w:r>
          </w:p>
        </w:tc>
      </w:tr>
      <w:tr w:rsidR="00FB432E" w:rsidRPr="000E3561" w14:paraId="33CB7425" w14:textId="77777777">
        <w:tc>
          <w:tcPr>
            <w:tcW w:w="2160" w:type="dxa"/>
          </w:tcPr>
          <w:p w14:paraId="1650293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2</w:t>
            </w:r>
          </w:p>
        </w:tc>
        <w:tc>
          <w:tcPr>
            <w:tcW w:w="2160" w:type="dxa"/>
          </w:tcPr>
          <w:p w14:paraId="1C49A741"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Emerging</w:t>
            </w:r>
          </w:p>
        </w:tc>
        <w:tc>
          <w:tcPr>
            <w:tcW w:w="2160" w:type="dxa"/>
          </w:tcPr>
          <w:p w14:paraId="50A229A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Some structured practices exist; partial coverage; early evidence of benefits.</w:t>
            </w:r>
          </w:p>
        </w:tc>
        <w:tc>
          <w:tcPr>
            <w:tcW w:w="2160" w:type="dxa"/>
          </w:tcPr>
          <w:p w14:paraId="7824B89E"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Draft plans/policies; pilots; partial training; early metrics; uneven adoption across units.</w:t>
            </w:r>
          </w:p>
        </w:tc>
      </w:tr>
      <w:tr w:rsidR="00FB432E" w:rsidRPr="000E3561" w14:paraId="57BE861C" w14:textId="77777777">
        <w:tc>
          <w:tcPr>
            <w:tcW w:w="2160" w:type="dxa"/>
          </w:tcPr>
          <w:p w14:paraId="1F3374E7"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3</w:t>
            </w:r>
          </w:p>
        </w:tc>
        <w:tc>
          <w:tcPr>
            <w:tcW w:w="2160" w:type="dxa"/>
          </w:tcPr>
          <w:p w14:paraId="14188402"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Established</w:t>
            </w:r>
          </w:p>
        </w:tc>
        <w:tc>
          <w:tcPr>
            <w:tcW w:w="2160" w:type="dxa"/>
          </w:tcPr>
          <w:p w14:paraId="0B8CFC2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Clear processes and responsibilities; practices used consistently across units.</w:t>
            </w:r>
          </w:p>
        </w:tc>
        <w:tc>
          <w:tcPr>
            <w:tcW w:w="2160" w:type="dxa"/>
          </w:tcPr>
          <w:p w14:paraId="3AB1F2DB"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 xml:space="preserve">Approved strategy/roadmap; governance routines; consistent training; service catalogue; integration standards; KPI </w:t>
            </w:r>
            <w:r w:rsidRPr="000E3561">
              <w:rPr>
                <w:rFonts w:asciiTheme="majorBidi" w:hAnsiTheme="majorBidi" w:cstheme="majorBidi"/>
              </w:rPr>
              <w:lastRenderedPageBreak/>
              <w:t>dashboards used.</w:t>
            </w:r>
          </w:p>
        </w:tc>
      </w:tr>
      <w:tr w:rsidR="00FB432E" w:rsidRPr="000E3561" w14:paraId="4E59DB85" w14:textId="77777777">
        <w:tc>
          <w:tcPr>
            <w:tcW w:w="2160" w:type="dxa"/>
          </w:tcPr>
          <w:p w14:paraId="432BD61C"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lastRenderedPageBreak/>
              <w:t>4</w:t>
            </w:r>
          </w:p>
        </w:tc>
        <w:tc>
          <w:tcPr>
            <w:tcW w:w="2160" w:type="dxa"/>
          </w:tcPr>
          <w:p w14:paraId="03C1C645"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Optimising</w:t>
            </w:r>
          </w:p>
        </w:tc>
        <w:tc>
          <w:tcPr>
            <w:tcW w:w="2160" w:type="dxa"/>
          </w:tcPr>
          <w:p w14:paraId="3BDFED3B"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Continuous improvement, benchmarking, and innovation; evidence of sustained outcomes.</w:t>
            </w:r>
          </w:p>
        </w:tc>
        <w:tc>
          <w:tcPr>
            <w:tcW w:w="2160" w:type="dxa"/>
          </w:tcPr>
          <w:p w14:paraId="189CB1B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Regular maturity reviews; benefits realisation; benchmarking; continuous redesign; resilient infrastructure; adaptive governance; sustained improvements.</w:t>
            </w:r>
          </w:p>
        </w:tc>
      </w:tr>
    </w:tbl>
    <w:p w14:paraId="68475FB2"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Each indicator score should be supported by at least one evidence reference (policy, minutes, dashboard screenshot, training log, architecture diagram, etc.). Where evidence is not available, score conservatively.</w:t>
      </w:r>
    </w:p>
    <w:p w14:paraId="152F1C76" w14:textId="77777777" w:rsidR="00FB432E" w:rsidRPr="000E3561" w:rsidRDefault="00000000" w:rsidP="000E3561">
      <w:pPr>
        <w:pStyle w:val="Heading1"/>
        <w:jc w:val="both"/>
        <w:rPr>
          <w:rFonts w:asciiTheme="majorBidi" w:hAnsiTheme="majorBidi"/>
        </w:rPr>
      </w:pPr>
      <w:r w:rsidRPr="000E3561">
        <w:rPr>
          <w:rFonts w:asciiTheme="majorBidi" w:hAnsiTheme="majorBidi"/>
        </w:rPr>
        <w:t>E. Scoring approach</w:t>
      </w:r>
    </w:p>
    <w:p w14:paraId="4B63AAD1" w14:textId="77777777" w:rsidR="00FB432E" w:rsidRPr="000E3561" w:rsidRDefault="00000000" w:rsidP="000E3561">
      <w:pPr>
        <w:pStyle w:val="Heading2"/>
        <w:jc w:val="both"/>
        <w:rPr>
          <w:rFonts w:asciiTheme="majorBidi" w:hAnsiTheme="majorBidi"/>
        </w:rPr>
      </w:pPr>
      <w:r w:rsidRPr="000E3561">
        <w:rPr>
          <w:rFonts w:asciiTheme="majorBidi" w:hAnsiTheme="majorBidi"/>
        </w:rPr>
        <w:t>E1. How to score indicators</w:t>
      </w:r>
    </w:p>
    <w:p w14:paraId="499CE67F"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Read the indicator definition and the four‑level descriptors in the Scoring Template.</w:t>
      </w:r>
    </w:p>
    <w:p w14:paraId="2343766C"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Check the Evidence Checklist for suggested artefacts.</w:t>
      </w:r>
    </w:p>
    <w:p w14:paraId="6E22D05E"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Agree the level (1–4) that best matches current practice.</w:t>
      </w:r>
    </w:p>
    <w:p w14:paraId="48A09CC2"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Record the score and attach evidence references (URL, document name, report page number, dashboard screenshot date, etc.).</w:t>
      </w:r>
    </w:p>
    <w:p w14:paraId="54AAACFF" w14:textId="77777777" w:rsidR="00FB432E" w:rsidRPr="000E3561" w:rsidRDefault="00000000" w:rsidP="000E3561">
      <w:pPr>
        <w:pStyle w:val="ListNumber"/>
        <w:jc w:val="both"/>
        <w:rPr>
          <w:rFonts w:asciiTheme="majorBidi" w:hAnsiTheme="majorBidi" w:cstheme="majorBidi"/>
        </w:rPr>
      </w:pPr>
      <w:r w:rsidRPr="000E3561">
        <w:rPr>
          <w:rFonts w:asciiTheme="majorBidi" w:hAnsiTheme="majorBidi" w:cstheme="majorBidi"/>
        </w:rPr>
        <w:t>Add a short justification (2–4 lines) describing why that level was selected.</w:t>
      </w:r>
    </w:p>
    <w:p w14:paraId="32BB8968" w14:textId="77777777" w:rsidR="00FB432E" w:rsidRPr="000E3561" w:rsidRDefault="00000000" w:rsidP="000E3561">
      <w:pPr>
        <w:pStyle w:val="Heading2"/>
        <w:jc w:val="both"/>
        <w:rPr>
          <w:rFonts w:asciiTheme="majorBidi" w:hAnsiTheme="majorBidi"/>
        </w:rPr>
      </w:pPr>
      <w:r w:rsidRPr="000E3561">
        <w:rPr>
          <w:rFonts w:asciiTheme="majorBidi" w:hAnsiTheme="majorBidi"/>
        </w:rPr>
        <w:t>E1a. Development of indicators (how they were derived)</w:t>
      </w:r>
    </w:p>
    <w:p w14:paraId="5F931B4B"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The indicator set in the Scoring Template was developed to operationalise each SDTF‑HE (v2) enabler as a small number of observable sub‑capabilities. Indicators were specified using a deductive–inductive process: deductively, each domain was decomposed into the key elements defined in Chapter 6; inductively, cross‑case interview themes were used to refine wording and ensure the indicators reflect capabilities that mattered in practice. Indicators are therefore formative components of each domain (i.e., they collectively constitute domain capability rather than reflecting a single latent trait).</w:t>
      </w:r>
    </w:p>
    <w:p w14:paraId="298AF526"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Step 1 (deductive mapping): start from the six enabler definitions and their sub‑dimensions as articulated in the refined SDTF‑HE (v2).</w:t>
      </w:r>
    </w:p>
    <w:p w14:paraId="52EB71AB"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Step 2 (empirical alignment): refine each sub‑dimension using cross‑case evidence so that each indicator describes a capability that participants linked to adoption and sustainability.</w:t>
      </w:r>
    </w:p>
    <w:p w14:paraId="2D74962C"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lastRenderedPageBreak/>
        <w:t>Step 3 (evidence test): ensure each indicator can be scored using plausible evidence artefacts (e.g., policies, minutes, dashboards, logs), consistent with a chain‑of‑evidence approach.</w:t>
      </w:r>
    </w:p>
    <w:p w14:paraId="6CB1E2C9"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Step 4 (coverage check): retain a compact set of indicators per domain that covers distinct aspects without duplication. Differences in indicator counts reflect differences in domain breadth (e.g., DT‑specific investments span architecture, integration, security, data governance, resilience and emerging capability areas).</w:t>
      </w:r>
    </w:p>
    <w:p w14:paraId="7F5619D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 the template, indicators are coded by domain (e.g., Strategy S1–S5; Governance G1–G5; Communication C1–C4; Training T1–T5; Investments I1–I6; Ecosystem Partnerships E1–E5). Domain scores are computed as the average of their indicator scores (see Section E2).</w:t>
      </w:r>
    </w:p>
    <w:p w14:paraId="2529A792" w14:textId="77777777" w:rsidR="00FB432E" w:rsidRPr="000E3561" w:rsidRDefault="00000000" w:rsidP="000E3561">
      <w:pPr>
        <w:pStyle w:val="Heading2"/>
        <w:jc w:val="both"/>
        <w:rPr>
          <w:rFonts w:asciiTheme="majorBidi" w:hAnsiTheme="majorBidi"/>
        </w:rPr>
      </w:pPr>
      <w:r w:rsidRPr="000E3561">
        <w:rPr>
          <w:rFonts w:asciiTheme="majorBidi" w:hAnsiTheme="majorBidi"/>
        </w:rPr>
        <w:t>E2. Calculating results</w:t>
      </w:r>
    </w:p>
    <w:p w14:paraId="4A0E3F84"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Indicator scores are averaged to generate a domain score (six domain scores).</w:t>
      </w:r>
    </w:p>
    <w:p w14:paraId="1FA77CA1"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Domain scores may be averaged to create an overall capacity score (optional).</w:t>
      </w:r>
    </w:p>
    <w:p w14:paraId="7764DF83"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Institutions may also apply weights if they have a justified strategic reason; if weights are used, document the rationale.</w:t>
      </w:r>
    </w:p>
    <w:p w14:paraId="73DF992D" w14:textId="77777777" w:rsidR="00FB432E" w:rsidRPr="000E3561" w:rsidRDefault="00000000" w:rsidP="000E3561">
      <w:pPr>
        <w:pStyle w:val="Heading2"/>
        <w:jc w:val="both"/>
        <w:rPr>
          <w:rFonts w:asciiTheme="majorBidi" w:hAnsiTheme="majorBidi"/>
        </w:rPr>
      </w:pPr>
      <w:r w:rsidRPr="000E3561">
        <w:rPr>
          <w:rFonts w:asciiTheme="majorBidi" w:hAnsiTheme="majorBidi"/>
        </w:rPr>
        <w:t>E3. Interpreting scores (practical reading)</w:t>
      </w:r>
    </w:p>
    <w:p w14:paraId="6404457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Interpretation labels in the Summary sheet are designed for practical sense‑making of averages (domain and overall). Because averages can fall between the four discrete maturity levels, the template groups scores into four interpretation bands:</w:t>
      </w:r>
    </w:p>
    <w:p w14:paraId="12E9B249"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Average &lt; 2.00 – Foundational gap: capability is largely ad‑hoc; high risk of fragmented adoption. Prioritise establishing basic governance, standards, and minimum viable processes.</w:t>
      </w:r>
    </w:p>
    <w:p w14:paraId="2A695C0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Average 2.00 to &lt; 2.75 – Developing capacity: early structure exists but is uneven across units. Prioritise standardisation, role clarity, and targeted enablement in weak areas.</w:t>
      </w:r>
    </w:p>
    <w:p w14:paraId="26FB8920"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Average 2.75 to &lt; 3.50 – Operational strength: capability is broadly established and used consistently. Focus on scaling, integration, and strengthening monitoring and feedback loops.</w:t>
      </w:r>
    </w:p>
    <w:p w14:paraId="1AC866A5"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Average &gt;= 3.50 – Mature capability: practices are optimising with continuous improvement and benchmarking. Focus on innovation, resilience, and sustained value realisation.</w:t>
      </w:r>
    </w:p>
    <w:p w14:paraId="15168F80"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These interpretation bands are provided in the workbook (Scale tab) so assessors can apply consistent meaning to average scores across time and across institutions.</w:t>
      </w:r>
    </w:p>
    <w:tbl>
      <w:tblPr>
        <w:tblStyle w:val="TableGrid"/>
        <w:tblW w:w="0" w:type="auto"/>
        <w:tblLook w:val="04A0" w:firstRow="1" w:lastRow="0" w:firstColumn="1" w:lastColumn="0" w:noHBand="0" w:noVBand="1"/>
      </w:tblPr>
      <w:tblGrid>
        <w:gridCol w:w="2880"/>
        <w:gridCol w:w="2880"/>
        <w:gridCol w:w="2880"/>
      </w:tblGrid>
      <w:tr w:rsidR="00FB432E" w:rsidRPr="000E3561" w14:paraId="7E9894F1" w14:textId="77777777">
        <w:tc>
          <w:tcPr>
            <w:tcW w:w="2880" w:type="dxa"/>
          </w:tcPr>
          <w:p w14:paraId="1D8BE6E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Score range (average)</w:t>
            </w:r>
          </w:p>
        </w:tc>
        <w:tc>
          <w:tcPr>
            <w:tcW w:w="2880" w:type="dxa"/>
          </w:tcPr>
          <w:p w14:paraId="1B254D9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Interpretation</w:t>
            </w:r>
          </w:p>
        </w:tc>
        <w:tc>
          <w:tcPr>
            <w:tcW w:w="2880" w:type="dxa"/>
          </w:tcPr>
          <w:p w14:paraId="011E3309"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Typical action implication</w:t>
            </w:r>
          </w:p>
        </w:tc>
      </w:tr>
      <w:tr w:rsidR="00FB432E" w:rsidRPr="000E3561" w14:paraId="5E1FEFB2" w14:textId="77777777">
        <w:tc>
          <w:tcPr>
            <w:tcW w:w="2880" w:type="dxa"/>
          </w:tcPr>
          <w:p w14:paraId="3E96D5FE"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1.00–1.99</w:t>
            </w:r>
          </w:p>
        </w:tc>
        <w:tc>
          <w:tcPr>
            <w:tcW w:w="2880" w:type="dxa"/>
          </w:tcPr>
          <w:p w14:paraId="3B9C3AA1"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Foundational gap</w:t>
            </w:r>
          </w:p>
        </w:tc>
        <w:tc>
          <w:tcPr>
            <w:tcW w:w="2880" w:type="dxa"/>
          </w:tcPr>
          <w:p w14:paraId="738205A8"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 xml:space="preserve">Stabilise and formalise </w:t>
            </w:r>
            <w:r w:rsidRPr="000E3561">
              <w:rPr>
                <w:rFonts w:asciiTheme="majorBidi" w:hAnsiTheme="majorBidi" w:cstheme="majorBidi"/>
              </w:rPr>
              <w:lastRenderedPageBreak/>
              <w:t>practices; create minimum governance and enablement routines.</w:t>
            </w:r>
          </w:p>
        </w:tc>
      </w:tr>
      <w:tr w:rsidR="00FB432E" w:rsidRPr="000E3561" w14:paraId="5AA61C4C" w14:textId="77777777">
        <w:tc>
          <w:tcPr>
            <w:tcW w:w="2880" w:type="dxa"/>
          </w:tcPr>
          <w:p w14:paraId="0A3B6EA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lastRenderedPageBreak/>
              <w:t>2.00–2.74</w:t>
            </w:r>
          </w:p>
        </w:tc>
        <w:tc>
          <w:tcPr>
            <w:tcW w:w="2880" w:type="dxa"/>
          </w:tcPr>
          <w:p w14:paraId="25101711"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Developing capability</w:t>
            </w:r>
          </w:p>
        </w:tc>
        <w:tc>
          <w:tcPr>
            <w:tcW w:w="2880" w:type="dxa"/>
          </w:tcPr>
          <w:p w14:paraId="7551B55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Scale structured practices; close coverage gaps; build repeatable routines and evidence.</w:t>
            </w:r>
          </w:p>
        </w:tc>
      </w:tr>
      <w:tr w:rsidR="00FB432E" w:rsidRPr="000E3561" w14:paraId="20CA70B6" w14:textId="77777777">
        <w:tc>
          <w:tcPr>
            <w:tcW w:w="2880" w:type="dxa"/>
          </w:tcPr>
          <w:p w14:paraId="31988639"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2.75–3.49</w:t>
            </w:r>
          </w:p>
        </w:tc>
        <w:tc>
          <w:tcPr>
            <w:tcW w:w="2880" w:type="dxa"/>
          </w:tcPr>
          <w:p w14:paraId="436200CA"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Operational strength</w:t>
            </w:r>
          </w:p>
        </w:tc>
        <w:tc>
          <w:tcPr>
            <w:tcW w:w="2880" w:type="dxa"/>
          </w:tcPr>
          <w:p w14:paraId="21C5152F"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Consolidate and standardise; strengthen data/feedback loops; optimise weak indicators.</w:t>
            </w:r>
          </w:p>
        </w:tc>
      </w:tr>
      <w:tr w:rsidR="00FB432E" w:rsidRPr="000E3561" w14:paraId="2FFEB350" w14:textId="77777777">
        <w:tc>
          <w:tcPr>
            <w:tcW w:w="2880" w:type="dxa"/>
          </w:tcPr>
          <w:p w14:paraId="1152B848"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3.50–4.00</w:t>
            </w:r>
          </w:p>
        </w:tc>
        <w:tc>
          <w:tcPr>
            <w:tcW w:w="2880" w:type="dxa"/>
          </w:tcPr>
          <w:p w14:paraId="2D74648B"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Mature capability</w:t>
            </w:r>
          </w:p>
        </w:tc>
        <w:tc>
          <w:tcPr>
            <w:tcW w:w="2880" w:type="dxa"/>
          </w:tcPr>
          <w:p w14:paraId="6541FFC9"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Benchmark externally; innovate; institutionalise continuous improvement and benefits realisation.</w:t>
            </w:r>
          </w:p>
        </w:tc>
      </w:tr>
    </w:tbl>
    <w:p w14:paraId="5931D01D" w14:textId="77777777" w:rsidR="00FB432E" w:rsidRPr="000E3561" w:rsidRDefault="00000000" w:rsidP="000E3561">
      <w:pPr>
        <w:pStyle w:val="Heading1"/>
        <w:jc w:val="both"/>
        <w:rPr>
          <w:rFonts w:asciiTheme="majorBidi" w:hAnsiTheme="majorBidi"/>
        </w:rPr>
      </w:pPr>
      <w:r w:rsidRPr="000E3561">
        <w:rPr>
          <w:rFonts w:asciiTheme="majorBidi" w:hAnsiTheme="majorBidi"/>
        </w:rPr>
        <w:t>F. Six domains and indicator overview</w:t>
      </w:r>
    </w:p>
    <w:p w14:paraId="6709D062"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The toolkit contains six domains (enablers). Each domain is assessed using a small set of indicators. Domains are intended to be mutually reinforcing: weaknesses in any domain can constrain Digital Adoption.</w:t>
      </w:r>
    </w:p>
    <w:p w14:paraId="7E8C365C" w14:textId="77777777" w:rsidR="00FB432E" w:rsidRPr="000E3561" w:rsidRDefault="00000000" w:rsidP="000E3561">
      <w:pPr>
        <w:pStyle w:val="Heading2"/>
        <w:jc w:val="both"/>
        <w:rPr>
          <w:rFonts w:asciiTheme="majorBidi" w:hAnsiTheme="majorBidi"/>
        </w:rPr>
      </w:pPr>
      <w:r w:rsidRPr="000E3561">
        <w:rPr>
          <w:rFonts w:asciiTheme="majorBidi" w:hAnsiTheme="majorBidi"/>
        </w:rPr>
        <w:t>Domain 1 – DT Strategy</w:t>
      </w:r>
    </w:p>
    <w:p w14:paraId="640E63CD"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Indicators in scoring template: S1–S5.</w:t>
      </w:r>
    </w:p>
    <w:p w14:paraId="17179D65"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Existence of institution‑wide DT strategy and roadmap (sequenced portfolio).</w:t>
      </w:r>
    </w:p>
    <w:p w14:paraId="7FFDF11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Alignment with mission, national agendas, and quality assurance/accreditation expectations.</w:t>
      </w:r>
    </w:p>
    <w:p w14:paraId="4C16476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Prioritisation and resourcing discipline (portfolio management).</w:t>
      </w:r>
    </w:p>
    <w:p w14:paraId="0DBD6095"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Benefits/KPI approach and strategy execution monitoring.</w:t>
      </w:r>
    </w:p>
    <w:p w14:paraId="352EEFC6"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Risk‑aware prioritisation and continuity planning embedded in strategy.</w:t>
      </w:r>
    </w:p>
    <w:p w14:paraId="64B148E2" w14:textId="77777777" w:rsidR="00FB432E" w:rsidRPr="000E3561" w:rsidRDefault="00000000" w:rsidP="000E3561">
      <w:pPr>
        <w:pStyle w:val="Heading2"/>
        <w:jc w:val="both"/>
        <w:rPr>
          <w:rFonts w:asciiTheme="majorBidi" w:hAnsiTheme="majorBidi"/>
        </w:rPr>
      </w:pPr>
      <w:r w:rsidRPr="000E3561">
        <w:rPr>
          <w:rFonts w:asciiTheme="majorBidi" w:hAnsiTheme="majorBidi"/>
        </w:rPr>
        <w:t>Domain 2 – Governance, Leadership &amp; Management</w:t>
      </w:r>
    </w:p>
    <w:p w14:paraId="0045EAA9"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Indicators in scoring template: G1–G5.</w:t>
      </w:r>
    </w:p>
    <w:p w14:paraId="1547FFBB"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Clear decision rights (ToR/RACI) and cross‑functional governance bodies.</w:t>
      </w:r>
    </w:p>
    <w:p w14:paraId="062A7477"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Visible leadership sponsorship and follow‑through.</w:t>
      </w:r>
    </w:p>
    <w:p w14:paraId="25C2BEAC"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Project/portfolio management routines (gates, reporting, escalation).</w:t>
      </w:r>
    </w:p>
    <w:p w14:paraId="3B19966C"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Policies/standards for systems, data, privacy, and service delivery.</w:t>
      </w:r>
    </w:p>
    <w:p w14:paraId="5FAC734A"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Sustainability of governance (succession, distributed ownership).</w:t>
      </w:r>
    </w:p>
    <w:p w14:paraId="75CFD7B7" w14:textId="77777777" w:rsidR="00FB432E" w:rsidRPr="000E3561" w:rsidRDefault="00000000" w:rsidP="000E3561">
      <w:pPr>
        <w:pStyle w:val="Heading2"/>
        <w:jc w:val="both"/>
        <w:rPr>
          <w:rFonts w:asciiTheme="majorBidi" w:hAnsiTheme="majorBidi"/>
        </w:rPr>
      </w:pPr>
      <w:r w:rsidRPr="000E3561">
        <w:rPr>
          <w:rFonts w:asciiTheme="majorBidi" w:hAnsiTheme="majorBidi"/>
        </w:rPr>
        <w:lastRenderedPageBreak/>
        <w:t>Domain 3 – Communication for Social &amp; Cultural Change</w:t>
      </w:r>
    </w:p>
    <w:p w14:paraId="41936EA8"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Indicators in scoring template: C1–C4.</w:t>
      </w:r>
    </w:p>
    <w:p w14:paraId="50090184"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Clear DT narrative (‘why’) and consistent messaging to staff and students.</w:t>
      </w:r>
    </w:p>
    <w:p w14:paraId="048C00AB"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Two‑way engagement mechanisms (surveys, workshops, feedback loops).</w:t>
      </w:r>
    </w:p>
    <w:p w14:paraId="0A026030"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Champions and communities of practice.</w:t>
      </w:r>
    </w:p>
    <w:p w14:paraId="1830D088"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Structured approach to resistance management and inclusion.</w:t>
      </w:r>
    </w:p>
    <w:p w14:paraId="23BCA2A3" w14:textId="77777777" w:rsidR="00FB432E" w:rsidRPr="000E3561" w:rsidRDefault="00000000" w:rsidP="000E3561">
      <w:pPr>
        <w:pStyle w:val="Heading2"/>
        <w:jc w:val="both"/>
        <w:rPr>
          <w:rFonts w:asciiTheme="majorBidi" w:hAnsiTheme="majorBidi"/>
        </w:rPr>
      </w:pPr>
      <w:r w:rsidRPr="000E3561">
        <w:rPr>
          <w:rFonts w:asciiTheme="majorBidi" w:hAnsiTheme="majorBidi"/>
        </w:rPr>
        <w:t>Domain 4 – Training &amp; Development</w:t>
      </w:r>
    </w:p>
    <w:p w14:paraId="16B807A8"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Indicators in scoring template: T1–T5.</w:t>
      </w:r>
    </w:p>
    <w:p w14:paraId="2D0A739A"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Role‑based training pathways and onboarding for key systems.</w:t>
      </w:r>
    </w:p>
    <w:p w14:paraId="05019DEF"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Ongoing user support (helpdesk, clinics, knowledge base).</w:t>
      </w:r>
    </w:p>
    <w:p w14:paraId="2A149C23"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Tracking participation and evaluating impact (not just attendance).</w:t>
      </w:r>
    </w:p>
    <w:p w14:paraId="73B6BB09"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Time/incentives for learning and experimentation.</w:t>
      </w:r>
    </w:p>
    <w:p w14:paraId="44323DAF"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Digital pedagogy, analytics/data literacy development.</w:t>
      </w:r>
    </w:p>
    <w:p w14:paraId="56752E53" w14:textId="77777777" w:rsidR="00FB432E" w:rsidRPr="000E3561" w:rsidRDefault="00000000" w:rsidP="000E3561">
      <w:pPr>
        <w:pStyle w:val="Heading2"/>
        <w:jc w:val="both"/>
        <w:rPr>
          <w:rFonts w:asciiTheme="majorBidi" w:hAnsiTheme="majorBidi"/>
        </w:rPr>
      </w:pPr>
      <w:r w:rsidRPr="000E3561">
        <w:rPr>
          <w:rFonts w:asciiTheme="majorBidi" w:hAnsiTheme="majorBidi"/>
        </w:rPr>
        <w:t>Domain 5 – DT‑Specific Investments</w:t>
      </w:r>
    </w:p>
    <w:p w14:paraId="687F187E"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Indicators in scoring template: I1–I6.</w:t>
      </w:r>
    </w:p>
    <w:p w14:paraId="6EDB7AA7"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Coherent platform stack (LMS/SIS/ERP/CRM) appropriate to institutional needs.</w:t>
      </w:r>
    </w:p>
    <w:p w14:paraId="74FD538C"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Integration and identity management (SSO, APIs, data interoperability).</w:t>
      </w:r>
    </w:p>
    <w:p w14:paraId="357B1DDE"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Cloud‑first direction and lifecycle management (platformisation).</w:t>
      </w:r>
    </w:p>
    <w:p w14:paraId="4F3598CD"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Cybersecurity, privacy, and data governance foundations.</w:t>
      </w:r>
    </w:p>
    <w:p w14:paraId="5633D16E"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Analytics/BI dashboards and data pipelines enabling monitoring.</w:t>
      </w:r>
    </w:p>
    <w:p w14:paraId="1CF64473"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Governed experimentation with emerging tech (AI/VR/AR) aligned to pedagogy.</w:t>
      </w:r>
    </w:p>
    <w:p w14:paraId="2EACC14D" w14:textId="77777777" w:rsidR="00FB432E" w:rsidRPr="000E3561" w:rsidRDefault="00000000" w:rsidP="000E3561">
      <w:pPr>
        <w:pStyle w:val="Heading2"/>
        <w:jc w:val="both"/>
        <w:rPr>
          <w:rFonts w:asciiTheme="majorBidi" w:hAnsiTheme="majorBidi"/>
        </w:rPr>
      </w:pPr>
      <w:r w:rsidRPr="000E3561">
        <w:rPr>
          <w:rFonts w:asciiTheme="majorBidi" w:hAnsiTheme="majorBidi"/>
        </w:rPr>
        <w:t>Domain 6 – Ecosystem Partnerships &amp; Vendor Management</w:t>
      </w:r>
    </w:p>
    <w:p w14:paraId="3480726D"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Indicators in scoring template: E1–E5.</w:t>
      </w:r>
    </w:p>
    <w:p w14:paraId="3EB29611"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Partnership strategy (build vs buy; interoperability; data ownership).</w:t>
      </w:r>
    </w:p>
    <w:p w14:paraId="6433D52D"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Contracting and SLAs for critical services.</w:t>
      </w:r>
    </w:p>
    <w:p w14:paraId="338618BC"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Vendor performance management and routine reviews.</w:t>
      </w:r>
    </w:p>
    <w:p w14:paraId="3A6FA1AA"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Capability transfer (training, co‑development, knowledge handover).</w:t>
      </w:r>
    </w:p>
    <w:p w14:paraId="6799C787"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Anti‑lock‑in practices and exit/transition planning; benchmarking and peer partnerships.</w:t>
      </w:r>
    </w:p>
    <w:p w14:paraId="11887EE8" w14:textId="77777777" w:rsidR="00FB432E" w:rsidRPr="000E3561" w:rsidRDefault="00000000" w:rsidP="000E3561">
      <w:pPr>
        <w:pStyle w:val="Heading1"/>
        <w:jc w:val="both"/>
        <w:rPr>
          <w:rFonts w:asciiTheme="majorBidi" w:hAnsiTheme="majorBidi"/>
        </w:rPr>
      </w:pPr>
      <w:r w:rsidRPr="000E3561">
        <w:rPr>
          <w:rFonts w:asciiTheme="majorBidi" w:hAnsiTheme="majorBidi"/>
        </w:rPr>
        <w:t>G. Glossary (selected terms)</w:t>
      </w:r>
    </w:p>
    <w:tbl>
      <w:tblPr>
        <w:tblStyle w:val="TableGrid"/>
        <w:tblW w:w="0" w:type="auto"/>
        <w:tblLook w:val="04A0" w:firstRow="1" w:lastRow="0" w:firstColumn="1" w:lastColumn="0" w:noHBand="0" w:noVBand="1"/>
      </w:tblPr>
      <w:tblGrid>
        <w:gridCol w:w="4320"/>
        <w:gridCol w:w="4320"/>
      </w:tblGrid>
      <w:tr w:rsidR="00FB432E" w:rsidRPr="000E3561" w14:paraId="2D6F5EF6" w14:textId="77777777">
        <w:tc>
          <w:tcPr>
            <w:tcW w:w="4320" w:type="dxa"/>
          </w:tcPr>
          <w:p w14:paraId="3C793D3C"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Term</w:t>
            </w:r>
          </w:p>
        </w:tc>
        <w:tc>
          <w:tcPr>
            <w:tcW w:w="4320" w:type="dxa"/>
          </w:tcPr>
          <w:p w14:paraId="122EEE0F"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Definition</w:t>
            </w:r>
          </w:p>
        </w:tc>
      </w:tr>
      <w:tr w:rsidR="00FB432E" w:rsidRPr="000E3561" w14:paraId="2404C543" w14:textId="77777777">
        <w:tc>
          <w:tcPr>
            <w:tcW w:w="4320" w:type="dxa"/>
          </w:tcPr>
          <w:p w14:paraId="249ACEF9"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lastRenderedPageBreak/>
              <w:t>Digital Adoption</w:t>
            </w:r>
          </w:p>
        </w:tc>
        <w:tc>
          <w:tcPr>
            <w:tcW w:w="4320" w:type="dxa"/>
          </w:tcPr>
          <w:p w14:paraId="6202E47F"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Sustained, routinised use of digital tools and digitised processes by staff and students in ways that change work and learning.</w:t>
            </w:r>
          </w:p>
        </w:tc>
      </w:tr>
      <w:tr w:rsidR="00FB432E" w:rsidRPr="000E3561" w14:paraId="0E4E02DA" w14:textId="77777777">
        <w:tc>
          <w:tcPr>
            <w:tcW w:w="4320" w:type="dxa"/>
          </w:tcPr>
          <w:p w14:paraId="66106F1C"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Digitisation vs DT</w:t>
            </w:r>
          </w:p>
        </w:tc>
        <w:tc>
          <w:tcPr>
            <w:tcW w:w="4320" w:type="dxa"/>
          </w:tcPr>
          <w:p w14:paraId="1F8361DC"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Digitisation is converting analogue activities into digital form; DT includes wider process redesign, operating-model change, and capability building.</w:t>
            </w:r>
          </w:p>
        </w:tc>
      </w:tr>
      <w:tr w:rsidR="00FB432E" w:rsidRPr="000E3561" w14:paraId="5B8F0D2B" w14:textId="77777777">
        <w:tc>
          <w:tcPr>
            <w:tcW w:w="4320" w:type="dxa"/>
          </w:tcPr>
          <w:p w14:paraId="61D01513"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Platformisation</w:t>
            </w:r>
          </w:p>
        </w:tc>
        <w:tc>
          <w:tcPr>
            <w:tcW w:w="4320" w:type="dxa"/>
          </w:tcPr>
          <w:p w14:paraId="06C5565E"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Consolidating services onto integrated platforms and shared capabilities (identity, data, integration) rather than standalone tools.</w:t>
            </w:r>
          </w:p>
        </w:tc>
      </w:tr>
      <w:tr w:rsidR="00FB432E" w:rsidRPr="000E3561" w14:paraId="1ADC90BC" w14:textId="77777777">
        <w:tc>
          <w:tcPr>
            <w:tcW w:w="4320" w:type="dxa"/>
          </w:tcPr>
          <w:p w14:paraId="19F90D3B"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Evidence</w:t>
            </w:r>
          </w:p>
        </w:tc>
        <w:tc>
          <w:tcPr>
            <w:tcW w:w="4320" w:type="dxa"/>
          </w:tcPr>
          <w:p w14:paraId="027D4569"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A verifiable artefact (document, dashboard, log, policy, minutes, screenshot) that supports a score decision.</w:t>
            </w:r>
          </w:p>
        </w:tc>
      </w:tr>
      <w:tr w:rsidR="00FB432E" w:rsidRPr="000E3561" w14:paraId="608ECA98" w14:textId="77777777">
        <w:tc>
          <w:tcPr>
            <w:tcW w:w="4320" w:type="dxa"/>
          </w:tcPr>
          <w:p w14:paraId="1AA929A2"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Indicator</w:t>
            </w:r>
          </w:p>
        </w:tc>
        <w:tc>
          <w:tcPr>
            <w:tcW w:w="4320" w:type="dxa"/>
          </w:tcPr>
          <w:p w14:paraId="66AEF235"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A specific capability statement within a domain that can be scored on the 1–4 scale.</w:t>
            </w:r>
          </w:p>
        </w:tc>
      </w:tr>
      <w:tr w:rsidR="00FB432E" w:rsidRPr="000E3561" w14:paraId="4BC76F43" w14:textId="77777777">
        <w:tc>
          <w:tcPr>
            <w:tcW w:w="4320" w:type="dxa"/>
          </w:tcPr>
          <w:p w14:paraId="60FF2646"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KPI/Benefits realisation</w:t>
            </w:r>
          </w:p>
        </w:tc>
        <w:tc>
          <w:tcPr>
            <w:tcW w:w="4320" w:type="dxa"/>
          </w:tcPr>
          <w:p w14:paraId="376C2B57"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Measures and routines used to track whether initiatives deliver intended value (service, learning, efficiency, quality).</w:t>
            </w:r>
          </w:p>
        </w:tc>
      </w:tr>
      <w:tr w:rsidR="00FB432E" w:rsidRPr="000E3561" w14:paraId="3EA1A3EB" w14:textId="77777777">
        <w:tc>
          <w:tcPr>
            <w:tcW w:w="4320" w:type="dxa"/>
          </w:tcPr>
          <w:p w14:paraId="3D044232"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RACI</w:t>
            </w:r>
          </w:p>
        </w:tc>
        <w:tc>
          <w:tcPr>
            <w:tcW w:w="4320" w:type="dxa"/>
          </w:tcPr>
          <w:p w14:paraId="676C3E5F" w14:textId="77777777" w:rsidR="00FB432E" w:rsidRPr="000E3561" w:rsidRDefault="00000000" w:rsidP="000E3561">
            <w:pPr>
              <w:jc w:val="both"/>
              <w:rPr>
                <w:rFonts w:asciiTheme="majorBidi" w:hAnsiTheme="majorBidi" w:cstheme="majorBidi"/>
              </w:rPr>
            </w:pPr>
            <w:r w:rsidRPr="000E3561">
              <w:rPr>
                <w:rFonts w:asciiTheme="majorBidi" w:hAnsiTheme="majorBidi" w:cstheme="majorBidi"/>
              </w:rPr>
              <w:t>A responsibility matrix clarifying who is Responsible, Accountable, Consulted, and Informed for DT decisions and processes.</w:t>
            </w:r>
          </w:p>
        </w:tc>
      </w:tr>
    </w:tbl>
    <w:p w14:paraId="5A1A4D4E" w14:textId="77777777" w:rsidR="00FB432E" w:rsidRPr="000E3561" w:rsidRDefault="00000000" w:rsidP="000E3561">
      <w:pPr>
        <w:pStyle w:val="Heading1"/>
        <w:jc w:val="both"/>
        <w:rPr>
          <w:rFonts w:asciiTheme="majorBidi" w:hAnsiTheme="majorBidi"/>
        </w:rPr>
      </w:pPr>
      <w:r w:rsidRPr="000E3561">
        <w:rPr>
          <w:rFonts w:asciiTheme="majorBidi" w:hAnsiTheme="majorBidi"/>
        </w:rPr>
        <w:t>H. References (Harvard)</w:t>
      </w:r>
    </w:p>
    <w:p w14:paraId="3E14887F"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Armenakis, A.A. and Harris, S.G. (2002) ‘Crafting a change message to create transformational readiness’, Journal of Organizational Change Management, 15(2), pp. 169–183.</w:t>
      </w:r>
    </w:p>
    <w:p w14:paraId="34C53DD7"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DeLone, W.H. and McLean, E.R. (2003) ‘The DeLone and McLean model of information systems success: A ten-year update’, Journal of Management Information Systems, 19(4), pp. 9–30.</w:t>
      </w:r>
    </w:p>
    <w:p w14:paraId="0DE2227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Dyer, J.H. and Singh, H. (1998) ‘The relational view: Cooperative strategy and sources of interorganizational competitive advantage’, Academy of Management Review, 23(4), pp. 660–679.</w:t>
      </w:r>
    </w:p>
    <w:p w14:paraId="375031E0"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Kotter, J.P. (2012) Leading Change. Boston, MA: Harvard Business Review Press.</w:t>
      </w:r>
    </w:p>
    <w:p w14:paraId="1A963CA3"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Miles, M.B., Huberman, A.M. and Saldaña, J. (2014) Qualitative Data Analysis: A Methods Sourcebook. 3rd edn. Thousand Oaks, CA: Sage.</w:t>
      </w:r>
    </w:p>
    <w:p w14:paraId="10A10006"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lang w:val="fr-FR"/>
        </w:rPr>
        <w:lastRenderedPageBreak/>
        <w:t xml:space="preserve">Paulk, M.C. et al. </w:t>
      </w:r>
      <w:r w:rsidRPr="000E3561">
        <w:rPr>
          <w:rFonts w:asciiTheme="majorBidi" w:hAnsiTheme="majorBidi" w:cstheme="majorBidi"/>
        </w:rPr>
        <w:t>(1993) Capability Maturity Model for Software, Version 1.1. Technical Report CMU/SEI‑93‑TR‑24. Pittsburgh, PA: SEI, Carnegie Mellon University.</w:t>
      </w:r>
    </w:p>
    <w:p w14:paraId="0B8AB29C"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Teece, D.J. (2007) ‘Explicating dynamic capabilities: The nature and microfoundations of (sustainable) enterprise performance’, Strategic Management Journal, 28(13), pp. 1319–1350.</w:t>
      </w:r>
    </w:p>
    <w:p w14:paraId="62F2C8A3"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Venkatesh, V. et al. (2003) ‘User acceptance of information technology: Toward a unified view’, MIS Quarterly, 27(3), pp. 425–478.</w:t>
      </w:r>
    </w:p>
    <w:p w14:paraId="1707F760"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Weiner, B.J. (2009) ‘A theory of organizational readiness for change’, Implementation Science, 4, Article 67.</w:t>
      </w:r>
    </w:p>
    <w:p w14:paraId="27A9CF68"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Wendler, R. (2012) ‘The maturity of maturity model research: A systematic mapping study’, Information and Software Technology, 54(12), pp. 1317–1339.</w:t>
      </w:r>
    </w:p>
    <w:p w14:paraId="38867EBB"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Yin, R.K. (2014) Case Study Research: Design and Methods. 5th edn. Thousand Oaks, CA: Sage.</w:t>
      </w:r>
    </w:p>
    <w:p w14:paraId="1AB89D62" w14:textId="77777777" w:rsidR="00FB432E" w:rsidRPr="000E3561" w:rsidRDefault="00000000" w:rsidP="000E3561">
      <w:pPr>
        <w:pStyle w:val="ListBullet"/>
        <w:jc w:val="both"/>
        <w:rPr>
          <w:rFonts w:asciiTheme="majorBidi" w:hAnsiTheme="majorBidi" w:cstheme="majorBidi"/>
        </w:rPr>
      </w:pPr>
      <w:r w:rsidRPr="000E3561">
        <w:rPr>
          <w:rFonts w:asciiTheme="majorBidi" w:hAnsiTheme="majorBidi" w:cstheme="majorBidi"/>
        </w:rPr>
        <w:t>Zhu, K., Kraemer, K.L. and Xu, S. (2006) ‘The process of innovation assimilation by firms in different countries: A technology diffusion perspective on e-business’, Management Science, 52(10), pp. 1557–1576.</w:t>
      </w:r>
    </w:p>
    <w:sectPr w:rsidR="00FB432E" w:rsidRPr="000E35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8283220">
    <w:abstractNumId w:val="8"/>
  </w:num>
  <w:num w:numId="2" w16cid:durableId="1160658247">
    <w:abstractNumId w:val="6"/>
  </w:num>
  <w:num w:numId="3" w16cid:durableId="1556314801">
    <w:abstractNumId w:val="5"/>
  </w:num>
  <w:num w:numId="4" w16cid:durableId="1573153734">
    <w:abstractNumId w:val="4"/>
  </w:num>
  <w:num w:numId="5" w16cid:durableId="1060177956">
    <w:abstractNumId w:val="7"/>
  </w:num>
  <w:num w:numId="6" w16cid:durableId="1149713367">
    <w:abstractNumId w:val="3"/>
  </w:num>
  <w:num w:numId="7" w16cid:durableId="984579923">
    <w:abstractNumId w:val="2"/>
  </w:num>
  <w:num w:numId="8" w16cid:durableId="1851021720">
    <w:abstractNumId w:val="1"/>
  </w:num>
  <w:num w:numId="9" w16cid:durableId="112141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3561"/>
    <w:rsid w:val="0015074B"/>
    <w:rsid w:val="0029639D"/>
    <w:rsid w:val="00326F90"/>
    <w:rsid w:val="00AA1D8D"/>
    <w:rsid w:val="00B47730"/>
    <w:rsid w:val="00CB0664"/>
    <w:rsid w:val="00D44FC1"/>
    <w:rsid w:val="00FB43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0FA6E57-4D32-4B85-9A52-601D6175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12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120"/>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hatem dammak</cp:lastModifiedBy>
  <cp:revision>2</cp:revision>
  <dcterms:created xsi:type="dcterms:W3CDTF">2013-12-23T23:15:00Z</dcterms:created>
  <dcterms:modified xsi:type="dcterms:W3CDTF">2026-01-13T09:31:00Z</dcterms:modified>
  <cp:category/>
</cp:coreProperties>
</file>