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3272"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b/>
          <w:sz w:val="32"/>
        </w:rPr>
        <w:t>SDTF‑HEI Institutional Capacity Self‑Assessment Toolkit</w:t>
      </w:r>
    </w:p>
    <w:p w14:paraId="18DE1654"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i/>
        </w:rPr>
        <w:t>Instrument 1: Self‑Assessment Guide (Six‑Enabler Capability Rubric)</w:t>
      </w:r>
    </w:p>
    <w:p w14:paraId="1B0B4FD3" w14:textId="77777777" w:rsidR="00517A12" w:rsidRPr="000E3561" w:rsidRDefault="00517A12" w:rsidP="00517A12">
      <w:pPr>
        <w:jc w:val="both"/>
        <w:rPr>
          <w:rFonts w:asciiTheme="majorBidi" w:hAnsiTheme="majorBidi" w:cstheme="majorBidi"/>
        </w:rPr>
      </w:pPr>
    </w:p>
    <w:p w14:paraId="1C020F6F" w14:textId="77777777" w:rsidR="00517A12" w:rsidRPr="000E3561" w:rsidRDefault="00517A12" w:rsidP="00517A12">
      <w:pPr>
        <w:pStyle w:val="Heading1"/>
        <w:jc w:val="both"/>
        <w:rPr>
          <w:rFonts w:asciiTheme="majorBidi" w:hAnsiTheme="majorBidi"/>
        </w:rPr>
      </w:pPr>
      <w:r w:rsidRPr="000E3561">
        <w:rPr>
          <w:rFonts w:asciiTheme="majorBidi" w:hAnsiTheme="majorBidi"/>
        </w:rPr>
        <w:t>A. Purpose and scope</w:t>
      </w:r>
    </w:p>
    <w:p w14:paraId="1616D2E1"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This guide supports Higher Education Institutions (HEIs) to conduct an evidence‑based self‑assessment of institutional capacity across the six SDTF‑HE enablers that enable Digital Adoption and, through adoption, successful digital transformation (DT). The toolkit is developmental (gap diagnosis and improvement planning) rather than evaluative (ranking or compliance).</w:t>
      </w:r>
    </w:p>
    <w:p w14:paraId="04A4D0C1" w14:textId="77777777" w:rsidR="00517A12" w:rsidRPr="000E3561" w:rsidRDefault="00517A12" w:rsidP="00517A12">
      <w:pPr>
        <w:pStyle w:val="Heading2"/>
        <w:jc w:val="both"/>
        <w:rPr>
          <w:rFonts w:asciiTheme="majorBidi" w:hAnsiTheme="majorBidi"/>
        </w:rPr>
      </w:pPr>
      <w:r w:rsidRPr="000E3561">
        <w:rPr>
          <w:rFonts w:asciiTheme="majorBidi" w:hAnsiTheme="majorBidi"/>
        </w:rPr>
        <w:t>A1. What this toolkit assesses</w:t>
      </w:r>
    </w:p>
    <w:p w14:paraId="41E93120"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Institutional capacities that the HEI can shape and manage (strategy, governance, culture/communication, training, digital investments, ecosystem partnerships).</w:t>
      </w:r>
    </w:p>
    <w:p w14:paraId="2A0E72E1"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The maturity of each capacity </w:t>
      </w:r>
      <w:proofErr w:type="gramStart"/>
      <w:r w:rsidRPr="000E3561">
        <w:rPr>
          <w:rFonts w:asciiTheme="majorBidi" w:hAnsiTheme="majorBidi" w:cstheme="majorBidi"/>
        </w:rPr>
        <w:t>as</w:t>
      </w:r>
      <w:proofErr w:type="gramEnd"/>
      <w:r w:rsidRPr="000E3561">
        <w:rPr>
          <w:rFonts w:asciiTheme="majorBidi" w:hAnsiTheme="majorBidi" w:cstheme="majorBidi"/>
        </w:rPr>
        <w:t xml:space="preserve"> evidenced by artefacts, data, and routine practices (not by aspirational statements).</w:t>
      </w:r>
    </w:p>
    <w:p w14:paraId="0759E03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Strengths and gaps that plausibly affect the HEI’s ability to sustain Digital Adoption and improvement cycles.</w:t>
      </w:r>
    </w:p>
    <w:p w14:paraId="1DFBFDA5" w14:textId="77777777" w:rsidR="00517A12" w:rsidRPr="000E3561" w:rsidRDefault="00517A12" w:rsidP="00517A12">
      <w:pPr>
        <w:pStyle w:val="Heading2"/>
        <w:jc w:val="both"/>
        <w:rPr>
          <w:rFonts w:asciiTheme="majorBidi" w:hAnsiTheme="majorBidi"/>
        </w:rPr>
      </w:pPr>
      <w:r w:rsidRPr="000E3561">
        <w:rPr>
          <w:rFonts w:asciiTheme="majorBidi" w:hAnsiTheme="majorBidi"/>
        </w:rPr>
        <w:t>A2. What this toolkit does not assess</w:t>
      </w:r>
    </w:p>
    <w:p w14:paraId="673E5DFC"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It does not directly score final DT outcomes (e.g., student satisfaction, cost savings) as ‘performance’ measures; those belong to Monitoring &amp; Feedback and institutional KPI systems.</w:t>
      </w:r>
    </w:p>
    <w:p w14:paraId="5EA86B7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It is not an audit of a single system (e.g., LMS) but a cross‑capability assessment that </w:t>
      </w:r>
      <w:proofErr w:type="spellStart"/>
      <w:r w:rsidRPr="000E3561">
        <w:rPr>
          <w:rFonts w:asciiTheme="majorBidi" w:hAnsiTheme="majorBidi" w:cstheme="majorBidi"/>
        </w:rPr>
        <w:t>recognises</w:t>
      </w:r>
      <w:proofErr w:type="spellEnd"/>
      <w:r w:rsidRPr="000E3561">
        <w:rPr>
          <w:rFonts w:asciiTheme="majorBidi" w:hAnsiTheme="majorBidi" w:cstheme="majorBidi"/>
        </w:rPr>
        <w:t xml:space="preserve"> DT as socio‑technical change.</w:t>
      </w:r>
    </w:p>
    <w:p w14:paraId="7E302CD7"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It is not a substitute for external accreditation or national digital maturity assessments.</w:t>
      </w:r>
    </w:p>
    <w:p w14:paraId="1935282C" w14:textId="77777777" w:rsidR="00517A12" w:rsidRPr="000E3561" w:rsidRDefault="00517A12" w:rsidP="00517A12">
      <w:pPr>
        <w:pStyle w:val="Heading1"/>
        <w:jc w:val="both"/>
        <w:rPr>
          <w:rFonts w:asciiTheme="majorBidi" w:hAnsiTheme="majorBidi"/>
        </w:rPr>
      </w:pPr>
      <w:r w:rsidRPr="000E3561">
        <w:rPr>
          <w:rFonts w:asciiTheme="majorBidi" w:hAnsiTheme="majorBidi"/>
        </w:rPr>
        <w:t>B. Who should use it</w:t>
      </w:r>
    </w:p>
    <w:p w14:paraId="2752E166"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The toolkit is intended for senior and operational leaders involved in DT governance and delivery, including (as applicable): President/Chancellor, Vice President/Provost (Academic Affairs), CIO/IT Director, Quality/Institutional Effectiveness, Student Affairs, Admissions &amp; Registration, and HR/People Development.</w:t>
      </w:r>
    </w:p>
    <w:p w14:paraId="319DCF7C" w14:textId="77777777" w:rsidR="00517A12" w:rsidRPr="000E3561" w:rsidRDefault="00517A12" w:rsidP="00517A12">
      <w:pPr>
        <w:pStyle w:val="Heading1"/>
        <w:jc w:val="both"/>
        <w:rPr>
          <w:rFonts w:asciiTheme="majorBidi" w:hAnsiTheme="majorBidi"/>
        </w:rPr>
      </w:pPr>
      <w:r w:rsidRPr="000E3561">
        <w:rPr>
          <w:rFonts w:asciiTheme="majorBidi" w:hAnsiTheme="majorBidi"/>
        </w:rPr>
        <w:t>C. Administration protocol</w:t>
      </w:r>
    </w:p>
    <w:p w14:paraId="0E2DA230"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Recommended approach for credible scoring (minimum standard):</w:t>
      </w:r>
    </w:p>
    <w:p w14:paraId="07B3D2A0"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lastRenderedPageBreak/>
        <w:t>Form an assessment group (6–10 members) representing academic, administrative, and digital service perspectives.</w:t>
      </w:r>
    </w:p>
    <w:p w14:paraId="18A3E6AB"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Nominate a facilitator and an evidence coordinator (can be the same person in small institutions).</w:t>
      </w:r>
    </w:p>
    <w:p w14:paraId="62D4FDD8"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Collect evidence first (documents, dashboards, logs, minutes, screenshots). Avoid scoring “from memory”.</w:t>
      </w:r>
    </w:p>
    <w:p w14:paraId="201B2B80"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Score indicator‑by‑indicator in a structured workshop (or two shorter sessions).</w:t>
      </w:r>
    </w:p>
    <w:p w14:paraId="4D6093C8"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Record the score, evidence reference(s), and brief justification for each indicator.</w:t>
      </w:r>
    </w:p>
    <w:p w14:paraId="0D124809"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Compute domain and overall averages, then identify 3–6 priority gaps.</w:t>
      </w:r>
    </w:p>
    <w:p w14:paraId="116235B9"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Optional (recommended): repeat the assessment every 6–12 months to track capability movement over time.</w:t>
      </w:r>
    </w:p>
    <w:p w14:paraId="7FB3B360" w14:textId="77777777" w:rsidR="00517A12" w:rsidRPr="000E3561" w:rsidRDefault="00517A12" w:rsidP="00517A12">
      <w:pPr>
        <w:pStyle w:val="Heading2"/>
        <w:jc w:val="both"/>
        <w:rPr>
          <w:rFonts w:asciiTheme="majorBidi" w:hAnsiTheme="majorBidi"/>
        </w:rPr>
      </w:pPr>
      <w:r w:rsidRPr="000E3561">
        <w:rPr>
          <w:rFonts w:asciiTheme="majorBidi" w:hAnsiTheme="majorBidi"/>
        </w:rPr>
        <w:t>C1. Evidence rule (discipline for scoring)</w:t>
      </w:r>
    </w:p>
    <w:p w14:paraId="2BF55A6B"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A score of **3 (Established)** or **4 (</w:t>
      </w:r>
      <w:proofErr w:type="spellStart"/>
      <w:r w:rsidRPr="000E3561">
        <w:rPr>
          <w:rFonts w:asciiTheme="majorBidi" w:hAnsiTheme="majorBidi" w:cstheme="majorBidi"/>
        </w:rPr>
        <w:t>Optimising</w:t>
      </w:r>
      <w:proofErr w:type="spellEnd"/>
      <w:r w:rsidRPr="000E3561">
        <w:rPr>
          <w:rFonts w:asciiTheme="majorBidi" w:hAnsiTheme="majorBidi" w:cstheme="majorBidi"/>
        </w:rPr>
        <w:t>)** should only be awarded when the practice is demonstrably implemented across relevant units (institution‑wide or clearly scaled), and not confined to a single department, individual champion, or pilot.</w:t>
      </w:r>
    </w:p>
    <w:p w14:paraId="7E9A8E1D" w14:textId="77777777" w:rsidR="00517A12" w:rsidRPr="000E3561" w:rsidRDefault="00517A12" w:rsidP="00517A12">
      <w:pPr>
        <w:pStyle w:val="Heading1"/>
        <w:jc w:val="both"/>
        <w:rPr>
          <w:rFonts w:asciiTheme="majorBidi" w:hAnsiTheme="majorBidi"/>
        </w:rPr>
      </w:pPr>
      <w:r w:rsidRPr="000E3561">
        <w:rPr>
          <w:rFonts w:asciiTheme="majorBidi" w:hAnsiTheme="majorBidi"/>
        </w:rPr>
        <w:t>D. Rating scale (four‑level capacity scale)</w:t>
      </w:r>
    </w:p>
    <w:tbl>
      <w:tblPr>
        <w:tblStyle w:val="TableGrid"/>
        <w:tblW w:w="0" w:type="auto"/>
        <w:tblLook w:val="04A0" w:firstRow="1" w:lastRow="0" w:firstColumn="1" w:lastColumn="0" w:noHBand="0" w:noVBand="1"/>
      </w:tblPr>
      <w:tblGrid>
        <w:gridCol w:w="2156"/>
        <w:gridCol w:w="2157"/>
        <w:gridCol w:w="2158"/>
        <w:gridCol w:w="2159"/>
      </w:tblGrid>
      <w:tr w:rsidR="00517A12" w:rsidRPr="000E3561" w14:paraId="04D8A9E1" w14:textId="77777777" w:rsidTr="00B50CB5">
        <w:tc>
          <w:tcPr>
            <w:tcW w:w="2160" w:type="dxa"/>
          </w:tcPr>
          <w:p w14:paraId="0A4AE72C"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Level</w:t>
            </w:r>
          </w:p>
        </w:tc>
        <w:tc>
          <w:tcPr>
            <w:tcW w:w="2160" w:type="dxa"/>
          </w:tcPr>
          <w:p w14:paraId="7693478A"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Label</w:t>
            </w:r>
          </w:p>
        </w:tc>
        <w:tc>
          <w:tcPr>
            <w:tcW w:w="2160" w:type="dxa"/>
          </w:tcPr>
          <w:p w14:paraId="0B2C810E"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Narrative descriptor</w:t>
            </w:r>
          </w:p>
        </w:tc>
        <w:tc>
          <w:tcPr>
            <w:tcW w:w="2160" w:type="dxa"/>
          </w:tcPr>
          <w:p w14:paraId="455FBCBE"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Typical evidence signals (examples)</w:t>
            </w:r>
          </w:p>
        </w:tc>
      </w:tr>
      <w:tr w:rsidR="00517A12" w:rsidRPr="000E3561" w14:paraId="187FBEDA" w14:textId="77777777" w:rsidTr="00B50CB5">
        <w:tc>
          <w:tcPr>
            <w:tcW w:w="2160" w:type="dxa"/>
          </w:tcPr>
          <w:p w14:paraId="06F9E2F3"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1</w:t>
            </w:r>
          </w:p>
        </w:tc>
        <w:tc>
          <w:tcPr>
            <w:tcW w:w="2160" w:type="dxa"/>
          </w:tcPr>
          <w:p w14:paraId="3B843F52"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Ad‑hoc</w:t>
            </w:r>
          </w:p>
        </w:tc>
        <w:tc>
          <w:tcPr>
            <w:tcW w:w="2160" w:type="dxa"/>
          </w:tcPr>
          <w:p w14:paraId="5B7E0BB9"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Activities are isolated; dependent on individuals; limited documentation and data.</w:t>
            </w:r>
          </w:p>
        </w:tc>
        <w:tc>
          <w:tcPr>
            <w:tcW w:w="2160" w:type="dxa"/>
          </w:tcPr>
          <w:p w14:paraId="0D94975F"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Informal practices; inconsistent delivery; no routine reporting; reliance on personal knowledge.</w:t>
            </w:r>
          </w:p>
        </w:tc>
      </w:tr>
      <w:tr w:rsidR="00517A12" w:rsidRPr="000E3561" w14:paraId="3742C047" w14:textId="77777777" w:rsidTr="00B50CB5">
        <w:tc>
          <w:tcPr>
            <w:tcW w:w="2160" w:type="dxa"/>
          </w:tcPr>
          <w:p w14:paraId="77C97288"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2</w:t>
            </w:r>
          </w:p>
        </w:tc>
        <w:tc>
          <w:tcPr>
            <w:tcW w:w="2160" w:type="dxa"/>
          </w:tcPr>
          <w:p w14:paraId="063BB43C"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Emerging</w:t>
            </w:r>
          </w:p>
        </w:tc>
        <w:tc>
          <w:tcPr>
            <w:tcW w:w="2160" w:type="dxa"/>
          </w:tcPr>
          <w:p w14:paraId="3B7E19C5"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Some structured practices exist; partial coverage; early evidence of benefits.</w:t>
            </w:r>
          </w:p>
        </w:tc>
        <w:tc>
          <w:tcPr>
            <w:tcW w:w="2160" w:type="dxa"/>
          </w:tcPr>
          <w:p w14:paraId="6FAF6857"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Draft plans/policies; pilots; partial training; early metrics; uneven adoption across units.</w:t>
            </w:r>
          </w:p>
        </w:tc>
      </w:tr>
      <w:tr w:rsidR="00517A12" w:rsidRPr="000E3561" w14:paraId="1B25E4E8" w14:textId="77777777" w:rsidTr="00B50CB5">
        <w:tc>
          <w:tcPr>
            <w:tcW w:w="2160" w:type="dxa"/>
          </w:tcPr>
          <w:p w14:paraId="16D72236"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3</w:t>
            </w:r>
          </w:p>
        </w:tc>
        <w:tc>
          <w:tcPr>
            <w:tcW w:w="2160" w:type="dxa"/>
          </w:tcPr>
          <w:p w14:paraId="564830DB"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Established</w:t>
            </w:r>
          </w:p>
        </w:tc>
        <w:tc>
          <w:tcPr>
            <w:tcW w:w="2160" w:type="dxa"/>
          </w:tcPr>
          <w:p w14:paraId="2A872717"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Clear processes and responsibilities; practices used consistently across units.</w:t>
            </w:r>
          </w:p>
        </w:tc>
        <w:tc>
          <w:tcPr>
            <w:tcW w:w="2160" w:type="dxa"/>
          </w:tcPr>
          <w:p w14:paraId="1DF3558E"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Approved strategy/roadmap; governance routines; consistent training; service catalogue; integration standards; KPI dashboards used.</w:t>
            </w:r>
          </w:p>
        </w:tc>
      </w:tr>
      <w:tr w:rsidR="00517A12" w:rsidRPr="000E3561" w14:paraId="4F0D0685" w14:textId="77777777" w:rsidTr="00B50CB5">
        <w:tc>
          <w:tcPr>
            <w:tcW w:w="2160" w:type="dxa"/>
          </w:tcPr>
          <w:p w14:paraId="17CB543A"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4</w:t>
            </w:r>
          </w:p>
        </w:tc>
        <w:tc>
          <w:tcPr>
            <w:tcW w:w="2160" w:type="dxa"/>
          </w:tcPr>
          <w:p w14:paraId="6E6AF488" w14:textId="77777777" w:rsidR="00517A12" w:rsidRPr="000E3561" w:rsidRDefault="00517A12" w:rsidP="00B50CB5">
            <w:pPr>
              <w:jc w:val="both"/>
              <w:rPr>
                <w:rFonts w:asciiTheme="majorBidi" w:hAnsiTheme="majorBidi" w:cstheme="majorBidi"/>
              </w:rPr>
            </w:pPr>
            <w:proofErr w:type="spellStart"/>
            <w:r w:rsidRPr="000E3561">
              <w:rPr>
                <w:rFonts w:asciiTheme="majorBidi" w:hAnsiTheme="majorBidi" w:cstheme="majorBidi"/>
              </w:rPr>
              <w:t>Optimising</w:t>
            </w:r>
            <w:proofErr w:type="spellEnd"/>
          </w:p>
        </w:tc>
        <w:tc>
          <w:tcPr>
            <w:tcW w:w="2160" w:type="dxa"/>
          </w:tcPr>
          <w:p w14:paraId="1833FFD8"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 xml:space="preserve">Continuous improvement, </w:t>
            </w:r>
            <w:r w:rsidRPr="000E3561">
              <w:rPr>
                <w:rFonts w:asciiTheme="majorBidi" w:hAnsiTheme="majorBidi" w:cstheme="majorBidi"/>
              </w:rPr>
              <w:lastRenderedPageBreak/>
              <w:t>benchmarking, and innovation; evidence of sustained outcomes.</w:t>
            </w:r>
          </w:p>
        </w:tc>
        <w:tc>
          <w:tcPr>
            <w:tcW w:w="2160" w:type="dxa"/>
          </w:tcPr>
          <w:p w14:paraId="1DEAAD74"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lastRenderedPageBreak/>
              <w:t xml:space="preserve">Regular maturity reviews; benefits </w:t>
            </w:r>
            <w:proofErr w:type="spellStart"/>
            <w:r w:rsidRPr="000E3561">
              <w:rPr>
                <w:rFonts w:asciiTheme="majorBidi" w:hAnsiTheme="majorBidi" w:cstheme="majorBidi"/>
              </w:rPr>
              <w:lastRenderedPageBreak/>
              <w:t>realisation</w:t>
            </w:r>
            <w:proofErr w:type="spellEnd"/>
            <w:r w:rsidRPr="000E3561">
              <w:rPr>
                <w:rFonts w:asciiTheme="majorBidi" w:hAnsiTheme="majorBidi" w:cstheme="majorBidi"/>
              </w:rPr>
              <w:t>; benchmarking; continuous redesign; resilient infrastructure; adaptive governance; sustained improvements.</w:t>
            </w:r>
          </w:p>
        </w:tc>
      </w:tr>
    </w:tbl>
    <w:p w14:paraId="41BFEBD1"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lastRenderedPageBreak/>
        <w:t>Each indicator score should be supported by at least one evidence reference (policy, minutes, dashboard screenshot, training log, architecture diagram, etc.). Where evidence is not available, score conservatively.</w:t>
      </w:r>
    </w:p>
    <w:p w14:paraId="7AC6800C" w14:textId="77777777" w:rsidR="00517A12" w:rsidRPr="000E3561" w:rsidRDefault="00517A12" w:rsidP="00517A12">
      <w:pPr>
        <w:pStyle w:val="Heading1"/>
        <w:jc w:val="both"/>
        <w:rPr>
          <w:rFonts w:asciiTheme="majorBidi" w:hAnsiTheme="majorBidi"/>
        </w:rPr>
      </w:pPr>
      <w:r w:rsidRPr="000E3561">
        <w:rPr>
          <w:rFonts w:asciiTheme="majorBidi" w:hAnsiTheme="majorBidi"/>
        </w:rPr>
        <w:t>E. Scoring approach</w:t>
      </w:r>
    </w:p>
    <w:p w14:paraId="2C2B455F" w14:textId="77777777" w:rsidR="00517A12" w:rsidRPr="000E3561" w:rsidRDefault="00517A12" w:rsidP="00517A12">
      <w:pPr>
        <w:pStyle w:val="Heading2"/>
        <w:jc w:val="both"/>
        <w:rPr>
          <w:rFonts w:asciiTheme="majorBidi" w:hAnsiTheme="majorBidi"/>
        </w:rPr>
      </w:pPr>
      <w:r w:rsidRPr="000E3561">
        <w:rPr>
          <w:rFonts w:asciiTheme="majorBidi" w:hAnsiTheme="majorBidi"/>
        </w:rPr>
        <w:t>E1. How to score indicators</w:t>
      </w:r>
    </w:p>
    <w:p w14:paraId="13110E7A"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Read the indicator definition and the four‑level descriptors in the Scoring Template.</w:t>
      </w:r>
    </w:p>
    <w:p w14:paraId="1065244E"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Check the Evidence Checklist for suggested artefacts.</w:t>
      </w:r>
    </w:p>
    <w:p w14:paraId="132E90D7"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Agree the level (1–4) that best matches current practice.</w:t>
      </w:r>
    </w:p>
    <w:p w14:paraId="7C774D09"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Record the score and attach evidence references (URL, document name, report page number, dashboard screenshot date, etc.).</w:t>
      </w:r>
    </w:p>
    <w:p w14:paraId="07D356AC" w14:textId="77777777" w:rsidR="00517A12" w:rsidRPr="000E3561" w:rsidRDefault="00517A12" w:rsidP="00517A12">
      <w:pPr>
        <w:pStyle w:val="ListNumber"/>
        <w:tabs>
          <w:tab w:val="num" w:pos="360"/>
        </w:tabs>
        <w:ind w:left="360" w:hanging="360"/>
        <w:jc w:val="both"/>
        <w:rPr>
          <w:rFonts w:asciiTheme="majorBidi" w:hAnsiTheme="majorBidi" w:cstheme="majorBidi"/>
        </w:rPr>
      </w:pPr>
      <w:r w:rsidRPr="000E3561">
        <w:rPr>
          <w:rFonts w:asciiTheme="majorBidi" w:hAnsiTheme="majorBidi" w:cstheme="majorBidi"/>
        </w:rPr>
        <w:t>Add a short justification (2–4 lines) describing why that level was selected.</w:t>
      </w:r>
    </w:p>
    <w:p w14:paraId="51B0B676" w14:textId="77777777" w:rsidR="00517A12" w:rsidRPr="000E3561" w:rsidRDefault="00517A12" w:rsidP="00517A12">
      <w:pPr>
        <w:pStyle w:val="Heading2"/>
        <w:jc w:val="both"/>
        <w:rPr>
          <w:rFonts w:asciiTheme="majorBidi" w:hAnsiTheme="majorBidi"/>
        </w:rPr>
      </w:pPr>
      <w:r w:rsidRPr="000E3561">
        <w:rPr>
          <w:rFonts w:asciiTheme="majorBidi" w:hAnsiTheme="majorBidi"/>
        </w:rPr>
        <w:t>E1a. Development of indicators (how they were derived)</w:t>
      </w:r>
    </w:p>
    <w:p w14:paraId="0354ACA1"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 xml:space="preserve">The indicator set in the Scoring Template was developed to </w:t>
      </w:r>
      <w:proofErr w:type="spellStart"/>
      <w:r w:rsidRPr="000E3561">
        <w:rPr>
          <w:rFonts w:asciiTheme="majorBidi" w:hAnsiTheme="majorBidi" w:cstheme="majorBidi"/>
        </w:rPr>
        <w:t>operationalise</w:t>
      </w:r>
      <w:proofErr w:type="spellEnd"/>
      <w:r w:rsidRPr="000E3561">
        <w:rPr>
          <w:rFonts w:asciiTheme="majorBidi" w:hAnsiTheme="majorBidi" w:cstheme="majorBidi"/>
        </w:rPr>
        <w:t xml:space="preserve"> each SDTF‑HE (v2) enabler as a small number of observable </w:t>
      </w:r>
      <w:proofErr w:type="gramStart"/>
      <w:r w:rsidRPr="000E3561">
        <w:rPr>
          <w:rFonts w:asciiTheme="majorBidi" w:hAnsiTheme="majorBidi" w:cstheme="majorBidi"/>
        </w:rPr>
        <w:t>sub</w:t>
      </w:r>
      <w:proofErr w:type="gramEnd"/>
      <w:r w:rsidRPr="000E3561">
        <w:rPr>
          <w:rFonts w:asciiTheme="majorBidi" w:hAnsiTheme="majorBidi" w:cstheme="majorBidi"/>
        </w:rPr>
        <w:t>‑capabilities. Indicators were specified using a deductive–inductive process: deductively, each domain was decomposed into the key elements defined in Chapter 6; inductively, cross‑case interview themes were used to refine wording and ensure the indicators reflect capabilities that mattered in practice. Indicators are therefore formative components of each domain (i.e., they collectively constitute domain capability rather than reflecting a single latent trait).</w:t>
      </w:r>
    </w:p>
    <w:p w14:paraId="626F5535"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Step 1 (deductive mapping): start from the six enabler definitions and their sub‑dimensions as articulated in the refined SDTF‑HE (v2).</w:t>
      </w:r>
    </w:p>
    <w:p w14:paraId="6424BF5A"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Step 2 (empirical alignment): refine each sub‑dimension using cross‑case evidence so that each indicator describes a capability that participants linked to adoption and sustainability.</w:t>
      </w:r>
    </w:p>
    <w:p w14:paraId="70CDBC27"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Step 3 (evidence test): ensure each indicator can be scored using plausible evidence artefacts (e.g., policies, minutes, dashboards, logs), consistent with a chain‑of‑evidence approach.</w:t>
      </w:r>
    </w:p>
    <w:p w14:paraId="1FB829E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lastRenderedPageBreak/>
        <w:t>Step 4 (coverage check): retain a compact set of indicators per domain that covers distinct aspects without duplication. Differences in indicator counts reflect differences in domain breadth (e.g., DT‑specific investments span architecture, integration, security, data governance, resilience and emerging capability areas).</w:t>
      </w:r>
    </w:p>
    <w:p w14:paraId="772CD8AF"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 the template, indicators are coded by domain (e.g., Strategy S1–S5; Governance G1–G5; Communication C1–C4; Training T1–T5; Investments I1–I6; Ecosystem Partnerships E1–E5). Domain scores are computed as the average of their indicator scores (see Section E2).</w:t>
      </w:r>
    </w:p>
    <w:p w14:paraId="0E81BA3F" w14:textId="77777777" w:rsidR="00517A12" w:rsidRPr="000E3561" w:rsidRDefault="00517A12" w:rsidP="00517A12">
      <w:pPr>
        <w:pStyle w:val="Heading2"/>
        <w:jc w:val="both"/>
        <w:rPr>
          <w:rFonts w:asciiTheme="majorBidi" w:hAnsiTheme="majorBidi"/>
        </w:rPr>
      </w:pPr>
      <w:r w:rsidRPr="000E3561">
        <w:rPr>
          <w:rFonts w:asciiTheme="majorBidi" w:hAnsiTheme="majorBidi"/>
        </w:rPr>
        <w:t>E2. Calculating results</w:t>
      </w:r>
    </w:p>
    <w:p w14:paraId="21D2C25A"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Indicator scores are averaged to generate a domain score (six domain scores).</w:t>
      </w:r>
    </w:p>
    <w:p w14:paraId="2D76CAC4"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Domain scores may be averaged to create an overall capacity score (optional).</w:t>
      </w:r>
    </w:p>
    <w:p w14:paraId="414D9366"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Institutions may also apply weights if they have a justified strategic reason; if weights are used, document the rationale.</w:t>
      </w:r>
    </w:p>
    <w:p w14:paraId="581C93DC" w14:textId="77777777" w:rsidR="00517A12" w:rsidRPr="000E3561" w:rsidRDefault="00517A12" w:rsidP="00517A12">
      <w:pPr>
        <w:pStyle w:val="Heading2"/>
        <w:jc w:val="both"/>
        <w:rPr>
          <w:rFonts w:asciiTheme="majorBidi" w:hAnsiTheme="majorBidi"/>
        </w:rPr>
      </w:pPr>
      <w:r w:rsidRPr="000E3561">
        <w:rPr>
          <w:rFonts w:asciiTheme="majorBidi" w:hAnsiTheme="majorBidi"/>
        </w:rPr>
        <w:t>E3. Interpreting scores (practical reading)</w:t>
      </w:r>
    </w:p>
    <w:p w14:paraId="5B6136A9"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 xml:space="preserve">Interpretation labels in the Summary sheet are designed for practical sense‑making of averages (domain and overall). Because averages can fall between the four discrete maturity levels, the template groups </w:t>
      </w:r>
      <w:proofErr w:type="gramStart"/>
      <w:r w:rsidRPr="000E3561">
        <w:rPr>
          <w:rFonts w:asciiTheme="majorBidi" w:hAnsiTheme="majorBidi" w:cstheme="majorBidi"/>
        </w:rPr>
        <w:t>scores</w:t>
      </w:r>
      <w:proofErr w:type="gramEnd"/>
      <w:r w:rsidRPr="000E3561">
        <w:rPr>
          <w:rFonts w:asciiTheme="majorBidi" w:hAnsiTheme="majorBidi" w:cstheme="majorBidi"/>
        </w:rPr>
        <w:t xml:space="preserve"> into four interpretation bands:</w:t>
      </w:r>
    </w:p>
    <w:p w14:paraId="3B7AE622"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Average &lt; 2.00 – Foundational gap: capability is largely ad‑hoc; high risk of fragmented adoption. </w:t>
      </w:r>
      <w:proofErr w:type="spellStart"/>
      <w:r w:rsidRPr="000E3561">
        <w:rPr>
          <w:rFonts w:asciiTheme="majorBidi" w:hAnsiTheme="majorBidi" w:cstheme="majorBidi"/>
        </w:rPr>
        <w:t>Prioritise</w:t>
      </w:r>
      <w:proofErr w:type="spellEnd"/>
      <w:r w:rsidRPr="000E3561">
        <w:rPr>
          <w:rFonts w:asciiTheme="majorBidi" w:hAnsiTheme="majorBidi" w:cstheme="majorBidi"/>
        </w:rPr>
        <w:t xml:space="preserve"> establishing basic governance, standards, and minimum viable processes.</w:t>
      </w:r>
    </w:p>
    <w:p w14:paraId="74DB800A"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Average 2.00 to &lt; 2.75 – Developing capacity: early structure exists but is uneven across units. </w:t>
      </w:r>
      <w:proofErr w:type="spellStart"/>
      <w:r w:rsidRPr="000E3561">
        <w:rPr>
          <w:rFonts w:asciiTheme="majorBidi" w:hAnsiTheme="majorBidi" w:cstheme="majorBidi"/>
        </w:rPr>
        <w:t>Prioritise</w:t>
      </w:r>
      <w:proofErr w:type="spellEnd"/>
      <w:r w:rsidRPr="000E3561">
        <w:rPr>
          <w:rFonts w:asciiTheme="majorBidi" w:hAnsiTheme="majorBidi" w:cstheme="majorBidi"/>
        </w:rPr>
        <w:t xml:space="preserve"> </w:t>
      </w:r>
      <w:proofErr w:type="spellStart"/>
      <w:r w:rsidRPr="000E3561">
        <w:rPr>
          <w:rFonts w:asciiTheme="majorBidi" w:hAnsiTheme="majorBidi" w:cstheme="majorBidi"/>
        </w:rPr>
        <w:t>standardisation</w:t>
      </w:r>
      <w:proofErr w:type="spellEnd"/>
      <w:r w:rsidRPr="000E3561">
        <w:rPr>
          <w:rFonts w:asciiTheme="majorBidi" w:hAnsiTheme="majorBidi" w:cstheme="majorBidi"/>
        </w:rPr>
        <w:t>, role clarity, and targeted enablement in weak areas.</w:t>
      </w:r>
    </w:p>
    <w:p w14:paraId="23CBE9BC"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Average 2.75 to &lt; 3.50 – Operational strength: capability is broadly established and used consistently. Focus on scaling, integration, and strengthening monitoring and feedback loops.</w:t>
      </w:r>
    </w:p>
    <w:p w14:paraId="60D28C90"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Average &gt;= 3.50 – Mature capability: practices are </w:t>
      </w:r>
      <w:proofErr w:type="spellStart"/>
      <w:r w:rsidRPr="000E3561">
        <w:rPr>
          <w:rFonts w:asciiTheme="majorBidi" w:hAnsiTheme="majorBidi" w:cstheme="majorBidi"/>
        </w:rPr>
        <w:t>optimising</w:t>
      </w:r>
      <w:proofErr w:type="spellEnd"/>
      <w:r w:rsidRPr="000E3561">
        <w:rPr>
          <w:rFonts w:asciiTheme="majorBidi" w:hAnsiTheme="majorBidi" w:cstheme="majorBidi"/>
        </w:rPr>
        <w:t xml:space="preserve"> with continuous improvement and benchmarking. Focus on innovation, resilience, and sustained value </w:t>
      </w:r>
      <w:proofErr w:type="spellStart"/>
      <w:r w:rsidRPr="000E3561">
        <w:rPr>
          <w:rFonts w:asciiTheme="majorBidi" w:hAnsiTheme="majorBidi" w:cstheme="majorBidi"/>
        </w:rPr>
        <w:t>realisation</w:t>
      </w:r>
      <w:proofErr w:type="spellEnd"/>
      <w:r w:rsidRPr="000E3561">
        <w:rPr>
          <w:rFonts w:asciiTheme="majorBidi" w:hAnsiTheme="majorBidi" w:cstheme="majorBidi"/>
        </w:rPr>
        <w:t>.</w:t>
      </w:r>
    </w:p>
    <w:p w14:paraId="08676428"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These interpretation bands are provided in the workbook (Scale tab) so assessors can apply consistent meaning to average scores across time and across institutions.</w:t>
      </w:r>
    </w:p>
    <w:tbl>
      <w:tblPr>
        <w:tblStyle w:val="TableGrid"/>
        <w:tblW w:w="0" w:type="auto"/>
        <w:tblLook w:val="04A0" w:firstRow="1" w:lastRow="0" w:firstColumn="1" w:lastColumn="0" w:noHBand="0" w:noVBand="1"/>
      </w:tblPr>
      <w:tblGrid>
        <w:gridCol w:w="2876"/>
        <w:gridCol w:w="2877"/>
        <w:gridCol w:w="2877"/>
      </w:tblGrid>
      <w:tr w:rsidR="00517A12" w:rsidRPr="000E3561" w14:paraId="07E1820C" w14:textId="77777777" w:rsidTr="00B50CB5">
        <w:tc>
          <w:tcPr>
            <w:tcW w:w="2880" w:type="dxa"/>
          </w:tcPr>
          <w:p w14:paraId="0179FEF8"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Score range (average)</w:t>
            </w:r>
          </w:p>
        </w:tc>
        <w:tc>
          <w:tcPr>
            <w:tcW w:w="2880" w:type="dxa"/>
          </w:tcPr>
          <w:p w14:paraId="4037188E"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Interpretation</w:t>
            </w:r>
          </w:p>
        </w:tc>
        <w:tc>
          <w:tcPr>
            <w:tcW w:w="2880" w:type="dxa"/>
          </w:tcPr>
          <w:p w14:paraId="1CB5DCBA"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Typical action implication</w:t>
            </w:r>
          </w:p>
        </w:tc>
      </w:tr>
      <w:tr w:rsidR="00517A12" w:rsidRPr="000E3561" w14:paraId="5A2F6220" w14:textId="77777777" w:rsidTr="00B50CB5">
        <w:tc>
          <w:tcPr>
            <w:tcW w:w="2880" w:type="dxa"/>
          </w:tcPr>
          <w:p w14:paraId="7146BBDB"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1.00–1.99</w:t>
            </w:r>
          </w:p>
        </w:tc>
        <w:tc>
          <w:tcPr>
            <w:tcW w:w="2880" w:type="dxa"/>
          </w:tcPr>
          <w:p w14:paraId="41A1B4EC"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Foundational gap</w:t>
            </w:r>
          </w:p>
        </w:tc>
        <w:tc>
          <w:tcPr>
            <w:tcW w:w="2880" w:type="dxa"/>
          </w:tcPr>
          <w:p w14:paraId="73A69F04" w14:textId="77777777" w:rsidR="00517A12" w:rsidRPr="000E3561" w:rsidRDefault="00517A12" w:rsidP="00B50CB5">
            <w:pPr>
              <w:jc w:val="both"/>
              <w:rPr>
                <w:rFonts w:asciiTheme="majorBidi" w:hAnsiTheme="majorBidi" w:cstheme="majorBidi"/>
              </w:rPr>
            </w:pPr>
            <w:proofErr w:type="spellStart"/>
            <w:r w:rsidRPr="000E3561">
              <w:rPr>
                <w:rFonts w:asciiTheme="majorBidi" w:hAnsiTheme="majorBidi" w:cstheme="majorBidi"/>
              </w:rPr>
              <w:t>Stabilise</w:t>
            </w:r>
            <w:proofErr w:type="spellEnd"/>
            <w:r w:rsidRPr="000E3561">
              <w:rPr>
                <w:rFonts w:asciiTheme="majorBidi" w:hAnsiTheme="majorBidi" w:cstheme="majorBidi"/>
              </w:rPr>
              <w:t xml:space="preserve"> and </w:t>
            </w:r>
            <w:proofErr w:type="spellStart"/>
            <w:r w:rsidRPr="000E3561">
              <w:rPr>
                <w:rFonts w:asciiTheme="majorBidi" w:hAnsiTheme="majorBidi" w:cstheme="majorBidi"/>
              </w:rPr>
              <w:t>formalise</w:t>
            </w:r>
            <w:proofErr w:type="spellEnd"/>
            <w:r w:rsidRPr="000E3561">
              <w:rPr>
                <w:rFonts w:asciiTheme="majorBidi" w:hAnsiTheme="majorBidi" w:cstheme="majorBidi"/>
              </w:rPr>
              <w:t xml:space="preserve"> practices; create minimum governance and enablement routines.</w:t>
            </w:r>
          </w:p>
        </w:tc>
      </w:tr>
      <w:tr w:rsidR="00517A12" w:rsidRPr="000E3561" w14:paraId="5C23F5DD" w14:textId="77777777" w:rsidTr="00B50CB5">
        <w:tc>
          <w:tcPr>
            <w:tcW w:w="2880" w:type="dxa"/>
          </w:tcPr>
          <w:p w14:paraId="66D44143"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lastRenderedPageBreak/>
              <w:t>2.00–2.74</w:t>
            </w:r>
          </w:p>
        </w:tc>
        <w:tc>
          <w:tcPr>
            <w:tcW w:w="2880" w:type="dxa"/>
          </w:tcPr>
          <w:p w14:paraId="77D886CC"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Developing capability</w:t>
            </w:r>
          </w:p>
        </w:tc>
        <w:tc>
          <w:tcPr>
            <w:tcW w:w="2880" w:type="dxa"/>
          </w:tcPr>
          <w:p w14:paraId="48B829AF"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Scale structured practices; close coverage gaps; build repeatable routines and evidence.</w:t>
            </w:r>
          </w:p>
        </w:tc>
      </w:tr>
      <w:tr w:rsidR="00517A12" w:rsidRPr="000E3561" w14:paraId="238828B2" w14:textId="77777777" w:rsidTr="00B50CB5">
        <w:tc>
          <w:tcPr>
            <w:tcW w:w="2880" w:type="dxa"/>
          </w:tcPr>
          <w:p w14:paraId="6A9C1093"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2.75–3.49</w:t>
            </w:r>
          </w:p>
        </w:tc>
        <w:tc>
          <w:tcPr>
            <w:tcW w:w="2880" w:type="dxa"/>
          </w:tcPr>
          <w:p w14:paraId="0034C9D2"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Operational strength</w:t>
            </w:r>
          </w:p>
        </w:tc>
        <w:tc>
          <w:tcPr>
            <w:tcW w:w="2880" w:type="dxa"/>
          </w:tcPr>
          <w:p w14:paraId="042F3EC8"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 xml:space="preserve">Consolidate and </w:t>
            </w:r>
            <w:proofErr w:type="spellStart"/>
            <w:r w:rsidRPr="000E3561">
              <w:rPr>
                <w:rFonts w:asciiTheme="majorBidi" w:hAnsiTheme="majorBidi" w:cstheme="majorBidi"/>
              </w:rPr>
              <w:t>standardise</w:t>
            </w:r>
            <w:proofErr w:type="spellEnd"/>
            <w:r w:rsidRPr="000E3561">
              <w:rPr>
                <w:rFonts w:asciiTheme="majorBidi" w:hAnsiTheme="majorBidi" w:cstheme="majorBidi"/>
              </w:rPr>
              <w:t xml:space="preserve">; strengthen data/feedback loops; </w:t>
            </w:r>
            <w:proofErr w:type="spellStart"/>
            <w:r w:rsidRPr="000E3561">
              <w:rPr>
                <w:rFonts w:asciiTheme="majorBidi" w:hAnsiTheme="majorBidi" w:cstheme="majorBidi"/>
              </w:rPr>
              <w:t>optimise</w:t>
            </w:r>
            <w:proofErr w:type="spellEnd"/>
            <w:r w:rsidRPr="000E3561">
              <w:rPr>
                <w:rFonts w:asciiTheme="majorBidi" w:hAnsiTheme="majorBidi" w:cstheme="majorBidi"/>
              </w:rPr>
              <w:t xml:space="preserve"> weak indicators.</w:t>
            </w:r>
          </w:p>
        </w:tc>
      </w:tr>
      <w:tr w:rsidR="00517A12" w:rsidRPr="000E3561" w14:paraId="6A7EEB4D" w14:textId="77777777" w:rsidTr="00B50CB5">
        <w:tc>
          <w:tcPr>
            <w:tcW w:w="2880" w:type="dxa"/>
          </w:tcPr>
          <w:p w14:paraId="398DF2B1"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3.50–4.00</w:t>
            </w:r>
          </w:p>
        </w:tc>
        <w:tc>
          <w:tcPr>
            <w:tcW w:w="2880" w:type="dxa"/>
          </w:tcPr>
          <w:p w14:paraId="15A4428A"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Mature capability</w:t>
            </w:r>
          </w:p>
        </w:tc>
        <w:tc>
          <w:tcPr>
            <w:tcW w:w="2880" w:type="dxa"/>
          </w:tcPr>
          <w:p w14:paraId="599955D6"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 xml:space="preserve">Benchmark externally; innovate; </w:t>
            </w:r>
            <w:proofErr w:type="spellStart"/>
            <w:r w:rsidRPr="000E3561">
              <w:rPr>
                <w:rFonts w:asciiTheme="majorBidi" w:hAnsiTheme="majorBidi" w:cstheme="majorBidi"/>
              </w:rPr>
              <w:t>institutionalise</w:t>
            </w:r>
            <w:proofErr w:type="spellEnd"/>
            <w:r w:rsidRPr="000E3561">
              <w:rPr>
                <w:rFonts w:asciiTheme="majorBidi" w:hAnsiTheme="majorBidi" w:cstheme="majorBidi"/>
              </w:rPr>
              <w:t xml:space="preserve"> continuous improvement and benefits </w:t>
            </w:r>
            <w:proofErr w:type="spellStart"/>
            <w:r w:rsidRPr="000E3561">
              <w:rPr>
                <w:rFonts w:asciiTheme="majorBidi" w:hAnsiTheme="majorBidi" w:cstheme="majorBidi"/>
              </w:rPr>
              <w:t>realisation</w:t>
            </w:r>
            <w:proofErr w:type="spellEnd"/>
            <w:r w:rsidRPr="000E3561">
              <w:rPr>
                <w:rFonts w:asciiTheme="majorBidi" w:hAnsiTheme="majorBidi" w:cstheme="majorBidi"/>
              </w:rPr>
              <w:t>.</w:t>
            </w:r>
          </w:p>
        </w:tc>
      </w:tr>
    </w:tbl>
    <w:p w14:paraId="2215CCC7" w14:textId="77777777" w:rsidR="00517A12" w:rsidRPr="000E3561" w:rsidRDefault="00517A12" w:rsidP="00517A12">
      <w:pPr>
        <w:pStyle w:val="Heading1"/>
        <w:jc w:val="both"/>
        <w:rPr>
          <w:rFonts w:asciiTheme="majorBidi" w:hAnsiTheme="majorBidi"/>
        </w:rPr>
      </w:pPr>
      <w:r w:rsidRPr="000E3561">
        <w:rPr>
          <w:rFonts w:asciiTheme="majorBidi" w:hAnsiTheme="majorBidi"/>
        </w:rPr>
        <w:t>F. Six domains and indicator overview</w:t>
      </w:r>
    </w:p>
    <w:p w14:paraId="395DC609"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 xml:space="preserve">The toolkit contains six domains (enablers). Each domain is assessed using a small set of indicators. Domains are intended to be mutually </w:t>
      </w:r>
      <w:proofErr w:type="gramStart"/>
      <w:r w:rsidRPr="000E3561">
        <w:rPr>
          <w:rFonts w:asciiTheme="majorBidi" w:hAnsiTheme="majorBidi" w:cstheme="majorBidi"/>
        </w:rPr>
        <w:t>reinforcing:</w:t>
      </w:r>
      <w:proofErr w:type="gramEnd"/>
      <w:r w:rsidRPr="000E3561">
        <w:rPr>
          <w:rFonts w:asciiTheme="majorBidi" w:hAnsiTheme="majorBidi" w:cstheme="majorBidi"/>
        </w:rPr>
        <w:t xml:space="preserve"> weaknesses in any domain can constrain Digital Adoption.</w:t>
      </w:r>
    </w:p>
    <w:p w14:paraId="5D8315A5"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1 – DT Strategy</w:t>
      </w:r>
    </w:p>
    <w:p w14:paraId="08E234A2"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S1–S5.</w:t>
      </w:r>
    </w:p>
    <w:p w14:paraId="6909EE96"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Existence of institution‑wide DT strategy and roadmap (sequenced portfolio).</w:t>
      </w:r>
    </w:p>
    <w:p w14:paraId="3D12D220"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Alignment with mission, national agendas, and quality assurance/accreditation expectations.</w:t>
      </w:r>
    </w:p>
    <w:p w14:paraId="1613E31B" w14:textId="77777777" w:rsidR="00517A12" w:rsidRPr="000E3561" w:rsidRDefault="00517A12" w:rsidP="00517A12">
      <w:pPr>
        <w:pStyle w:val="ListBullet"/>
        <w:tabs>
          <w:tab w:val="num" w:pos="360"/>
        </w:tabs>
        <w:ind w:left="360" w:hanging="360"/>
        <w:jc w:val="both"/>
        <w:rPr>
          <w:rFonts w:asciiTheme="majorBidi" w:hAnsiTheme="majorBidi" w:cstheme="majorBidi"/>
        </w:rPr>
      </w:pPr>
      <w:proofErr w:type="spellStart"/>
      <w:r w:rsidRPr="000E3561">
        <w:rPr>
          <w:rFonts w:asciiTheme="majorBidi" w:hAnsiTheme="majorBidi" w:cstheme="majorBidi"/>
        </w:rPr>
        <w:t>Prioritisation</w:t>
      </w:r>
      <w:proofErr w:type="spellEnd"/>
      <w:r w:rsidRPr="000E3561">
        <w:rPr>
          <w:rFonts w:asciiTheme="majorBidi" w:hAnsiTheme="majorBidi" w:cstheme="majorBidi"/>
        </w:rPr>
        <w:t xml:space="preserve"> and resourcing discipline (portfolio management).</w:t>
      </w:r>
    </w:p>
    <w:p w14:paraId="13FC2F3E"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Benefits/KPI approach and strategy execution monitoring.</w:t>
      </w:r>
    </w:p>
    <w:p w14:paraId="4CAD2C59"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Risk‑aware </w:t>
      </w:r>
      <w:proofErr w:type="spellStart"/>
      <w:r w:rsidRPr="000E3561">
        <w:rPr>
          <w:rFonts w:asciiTheme="majorBidi" w:hAnsiTheme="majorBidi" w:cstheme="majorBidi"/>
        </w:rPr>
        <w:t>prioritisation</w:t>
      </w:r>
      <w:proofErr w:type="spellEnd"/>
      <w:r w:rsidRPr="000E3561">
        <w:rPr>
          <w:rFonts w:asciiTheme="majorBidi" w:hAnsiTheme="majorBidi" w:cstheme="majorBidi"/>
        </w:rPr>
        <w:t xml:space="preserve"> and continuity planning embedded in strategy.</w:t>
      </w:r>
    </w:p>
    <w:p w14:paraId="2A8B2F78"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2 – Governance, Leadership &amp; Management</w:t>
      </w:r>
    </w:p>
    <w:p w14:paraId="38A8DFF7"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G1–G5.</w:t>
      </w:r>
    </w:p>
    <w:p w14:paraId="41A4EA9C"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Clear decision rights (</w:t>
      </w:r>
      <w:proofErr w:type="spellStart"/>
      <w:r w:rsidRPr="000E3561">
        <w:rPr>
          <w:rFonts w:asciiTheme="majorBidi" w:hAnsiTheme="majorBidi" w:cstheme="majorBidi"/>
        </w:rPr>
        <w:t>ToR</w:t>
      </w:r>
      <w:proofErr w:type="spellEnd"/>
      <w:r w:rsidRPr="000E3561">
        <w:rPr>
          <w:rFonts w:asciiTheme="majorBidi" w:hAnsiTheme="majorBidi" w:cstheme="majorBidi"/>
        </w:rPr>
        <w:t>/RACI) and cross‑functional governance bodies.</w:t>
      </w:r>
    </w:p>
    <w:p w14:paraId="6EC94161"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Visible leadership sponsorship and follow‑through.</w:t>
      </w:r>
    </w:p>
    <w:p w14:paraId="39DE16D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Project/portfolio management routines (gates, reporting, escalation).</w:t>
      </w:r>
    </w:p>
    <w:p w14:paraId="181FA9B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Policies/standards for systems, data, privacy, and service delivery.</w:t>
      </w:r>
    </w:p>
    <w:p w14:paraId="11BDFF36"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Sustainability of governance (succession, distributed ownership).</w:t>
      </w:r>
    </w:p>
    <w:p w14:paraId="40F48386"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3 – Communication for Social &amp; Cultural Change</w:t>
      </w:r>
    </w:p>
    <w:p w14:paraId="7F667B66"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C1–C4.</w:t>
      </w:r>
    </w:p>
    <w:p w14:paraId="1999027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lastRenderedPageBreak/>
        <w:t xml:space="preserve">Clear DT </w:t>
      </w:r>
      <w:proofErr w:type="gramStart"/>
      <w:r w:rsidRPr="000E3561">
        <w:rPr>
          <w:rFonts w:asciiTheme="majorBidi" w:hAnsiTheme="majorBidi" w:cstheme="majorBidi"/>
        </w:rPr>
        <w:t>narrative (‘</w:t>
      </w:r>
      <w:proofErr w:type="gramEnd"/>
      <w:r w:rsidRPr="000E3561">
        <w:rPr>
          <w:rFonts w:asciiTheme="majorBidi" w:hAnsiTheme="majorBidi" w:cstheme="majorBidi"/>
        </w:rPr>
        <w:t>why’) and consistent messaging to staff and students.</w:t>
      </w:r>
    </w:p>
    <w:p w14:paraId="1DFFBC2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Two‑way engagement mechanisms (surveys, workshops, feedback loops).</w:t>
      </w:r>
    </w:p>
    <w:p w14:paraId="76E153B1"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Champions and communities of practice.</w:t>
      </w:r>
    </w:p>
    <w:p w14:paraId="3D54AA5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Structured approach to resistance management and inclusion.</w:t>
      </w:r>
    </w:p>
    <w:p w14:paraId="7418450A"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4 – Training &amp; Development</w:t>
      </w:r>
    </w:p>
    <w:p w14:paraId="621D849F"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T1–T5.</w:t>
      </w:r>
    </w:p>
    <w:p w14:paraId="2175A87F"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Role‑based training pathways and onboarding for key systems.</w:t>
      </w:r>
    </w:p>
    <w:p w14:paraId="39CDD6B8"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Ongoing user support (helpdesk, clinics, knowledge base).</w:t>
      </w:r>
    </w:p>
    <w:p w14:paraId="28B32EB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Tracking participation and evaluating impact (not just attendance).</w:t>
      </w:r>
    </w:p>
    <w:p w14:paraId="7D148642"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Time/incentives for learning and experimentation.</w:t>
      </w:r>
    </w:p>
    <w:p w14:paraId="176F9960"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Digital pedagogy, analytics/data literacy development.</w:t>
      </w:r>
    </w:p>
    <w:p w14:paraId="2F5BB40B"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5 – DT‑Specific Investments</w:t>
      </w:r>
    </w:p>
    <w:p w14:paraId="6C16DE5D"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I1–I6.</w:t>
      </w:r>
    </w:p>
    <w:p w14:paraId="445D83D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Coherent platform stack (LMS/SIS/ERP/CRM) appropriate to institutional needs.</w:t>
      </w:r>
    </w:p>
    <w:p w14:paraId="52983BF4"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Integration and identity management (SSO, APIs, data interoperability).</w:t>
      </w:r>
    </w:p>
    <w:p w14:paraId="3540DFD9"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Cloud‑first direction and lifecycle management (</w:t>
      </w:r>
      <w:proofErr w:type="spellStart"/>
      <w:r w:rsidRPr="000E3561">
        <w:rPr>
          <w:rFonts w:asciiTheme="majorBidi" w:hAnsiTheme="majorBidi" w:cstheme="majorBidi"/>
        </w:rPr>
        <w:t>platformisation</w:t>
      </w:r>
      <w:proofErr w:type="spellEnd"/>
      <w:r w:rsidRPr="000E3561">
        <w:rPr>
          <w:rFonts w:asciiTheme="majorBidi" w:hAnsiTheme="majorBidi" w:cstheme="majorBidi"/>
        </w:rPr>
        <w:t>).</w:t>
      </w:r>
    </w:p>
    <w:p w14:paraId="14D86A5E"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Cybersecurity, privacy, and data governance foundations.</w:t>
      </w:r>
    </w:p>
    <w:p w14:paraId="4D754627"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Analytics/BI dashboards and data pipelines enabling monitoring.</w:t>
      </w:r>
    </w:p>
    <w:p w14:paraId="2711343D"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Governed experimentation with emerging tech (AI/VR/AR) aligned to pedagogy.</w:t>
      </w:r>
    </w:p>
    <w:p w14:paraId="5A0DDB7B" w14:textId="77777777" w:rsidR="00517A12" w:rsidRPr="000E3561" w:rsidRDefault="00517A12" w:rsidP="00517A12">
      <w:pPr>
        <w:pStyle w:val="Heading2"/>
        <w:jc w:val="both"/>
        <w:rPr>
          <w:rFonts w:asciiTheme="majorBidi" w:hAnsiTheme="majorBidi"/>
        </w:rPr>
      </w:pPr>
      <w:r w:rsidRPr="000E3561">
        <w:rPr>
          <w:rFonts w:asciiTheme="majorBidi" w:hAnsiTheme="majorBidi"/>
        </w:rPr>
        <w:t>Domain 6 – Ecosystem Partnerships &amp; Vendor Management</w:t>
      </w:r>
    </w:p>
    <w:p w14:paraId="60A9D6EC" w14:textId="77777777" w:rsidR="00517A12" w:rsidRPr="000E3561" w:rsidRDefault="00517A12" w:rsidP="00517A12">
      <w:pPr>
        <w:jc w:val="both"/>
        <w:rPr>
          <w:rFonts w:asciiTheme="majorBidi" w:hAnsiTheme="majorBidi" w:cstheme="majorBidi"/>
        </w:rPr>
      </w:pPr>
      <w:r w:rsidRPr="000E3561">
        <w:rPr>
          <w:rFonts w:asciiTheme="majorBidi" w:hAnsiTheme="majorBidi" w:cstheme="majorBidi"/>
        </w:rPr>
        <w:t>Indicators in scoring template: E1–E5.</w:t>
      </w:r>
    </w:p>
    <w:p w14:paraId="6EA70262"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Partnership strategy (build vs buy; interoperability; data ownership).</w:t>
      </w:r>
    </w:p>
    <w:p w14:paraId="181363F6"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Contracting and SLAs for critical services.</w:t>
      </w:r>
    </w:p>
    <w:p w14:paraId="3AEE9FAC"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Vendor performance management and routine reviews.</w:t>
      </w:r>
    </w:p>
    <w:p w14:paraId="6F70520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Capability transfer (training, co‑development, knowledge handover).</w:t>
      </w:r>
    </w:p>
    <w:p w14:paraId="430736B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Anti‑lock‑in practices and exit/transition planning; benchmarking and peer partnerships.</w:t>
      </w:r>
    </w:p>
    <w:p w14:paraId="06CA4361" w14:textId="77777777" w:rsidR="00517A12" w:rsidRPr="000E3561" w:rsidRDefault="00517A12" w:rsidP="00517A12">
      <w:pPr>
        <w:pStyle w:val="Heading1"/>
        <w:jc w:val="both"/>
        <w:rPr>
          <w:rFonts w:asciiTheme="majorBidi" w:hAnsiTheme="majorBidi"/>
        </w:rPr>
      </w:pPr>
      <w:r w:rsidRPr="000E3561">
        <w:rPr>
          <w:rFonts w:asciiTheme="majorBidi" w:hAnsiTheme="majorBidi"/>
        </w:rPr>
        <w:t>G. Glossary (selected terms)</w:t>
      </w:r>
    </w:p>
    <w:tbl>
      <w:tblPr>
        <w:tblStyle w:val="TableGrid"/>
        <w:tblW w:w="0" w:type="auto"/>
        <w:tblLook w:val="04A0" w:firstRow="1" w:lastRow="0" w:firstColumn="1" w:lastColumn="0" w:noHBand="0" w:noVBand="1"/>
      </w:tblPr>
      <w:tblGrid>
        <w:gridCol w:w="4315"/>
        <w:gridCol w:w="4315"/>
      </w:tblGrid>
      <w:tr w:rsidR="00517A12" w:rsidRPr="000E3561" w14:paraId="55C8CDA9" w14:textId="77777777" w:rsidTr="00B50CB5">
        <w:tc>
          <w:tcPr>
            <w:tcW w:w="4320" w:type="dxa"/>
          </w:tcPr>
          <w:p w14:paraId="18878541"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Term</w:t>
            </w:r>
          </w:p>
        </w:tc>
        <w:tc>
          <w:tcPr>
            <w:tcW w:w="4320" w:type="dxa"/>
          </w:tcPr>
          <w:p w14:paraId="220FDE1D"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Definition</w:t>
            </w:r>
          </w:p>
        </w:tc>
      </w:tr>
      <w:tr w:rsidR="00517A12" w:rsidRPr="000E3561" w14:paraId="6BA3A87A" w14:textId="77777777" w:rsidTr="00B50CB5">
        <w:tc>
          <w:tcPr>
            <w:tcW w:w="4320" w:type="dxa"/>
          </w:tcPr>
          <w:p w14:paraId="13869F0B"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Digital Adoption</w:t>
            </w:r>
          </w:p>
        </w:tc>
        <w:tc>
          <w:tcPr>
            <w:tcW w:w="4320" w:type="dxa"/>
          </w:tcPr>
          <w:p w14:paraId="2E9029E3"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 xml:space="preserve">Sustained, routinised use of digital tools and </w:t>
            </w:r>
            <w:proofErr w:type="spellStart"/>
            <w:r w:rsidRPr="000E3561">
              <w:rPr>
                <w:rFonts w:asciiTheme="majorBidi" w:hAnsiTheme="majorBidi" w:cstheme="majorBidi"/>
              </w:rPr>
              <w:t>digitised</w:t>
            </w:r>
            <w:proofErr w:type="spellEnd"/>
            <w:r w:rsidRPr="000E3561">
              <w:rPr>
                <w:rFonts w:asciiTheme="majorBidi" w:hAnsiTheme="majorBidi" w:cstheme="majorBidi"/>
              </w:rPr>
              <w:t xml:space="preserve"> processes by staff and students in ways that change work and learning.</w:t>
            </w:r>
          </w:p>
        </w:tc>
      </w:tr>
      <w:tr w:rsidR="00517A12" w:rsidRPr="000E3561" w14:paraId="6586D388" w14:textId="77777777" w:rsidTr="00B50CB5">
        <w:tc>
          <w:tcPr>
            <w:tcW w:w="4320" w:type="dxa"/>
          </w:tcPr>
          <w:p w14:paraId="00834750" w14:textId="77777777" w:rsidR="00517A12" w:rsidRPr="000E3561" w:rsidRDefault="00517A12" w:rsidP="00B50CB5">
            <w:pPr>
              <w:jc w:val="both"/>
              <w:rPr>
                <w:rFonts w:asciiTheme="majorBidi" w:hAnsiTheme="majorBidi" w:cstheme="majorBidi"/>
              </w:rPr>
            </w:pPr>
            <w:proofErr w:type="spellStart"/>
            <w:r w:rsidRPr="000E3561">
              <w:rPr>
                <w:rFonts w:asciiTheme="majorBidi" w:hAnsiTheme="majorBidi" w:cstheme="majorBidi"/>
              </w:rPr>
              <w:lastRenderedPageBreak/>
              <w:t>Digitisation</w:t>
            </w:r>
            <w:proofErr w:type="spellEnd"/>
            <w:r w:rsidRPr="000E3561">
              <w:rPr>
                <w:rFonts w:asciiTheme="majorBidi" w:hAnsiTheme="majorBidi" w:cstheme="majorBidi"/>
              </w:rPr>
              <w:t xml:space="preserve"> vs DT</w:t>
            </w:r>
          </w:p>
        </w:tc>
        <w:tc>
          <w:tcPr>
            <w:tcW w:w="4320" w:type="dxa"/>
          </w:tcPr>
          <w:p w14:paraId="47536642" w14:textId="77777777" w:rsidR="00517A12" w:rsidRPr="000E3561" w:rsidRDefault="00517A12" w:rsidP="00B50CB5">
            <w:pPr>
              <w:jc w:val="both"/>
              <w:rPr>
                <w:rFonts w:asciiTheme="majorBidi" w:hAnsiTheme="majorBidi" w:cstheme="majorBidi"/>
              </w:rPr>
            </w:pPr>
            <w:proofErr w:type="spellStart"/>
            <w:r w:rsidRPr="000E3561">
              <w:rPr>
                <w:rFonts w:asciiTheme="majorBidi" w:hAnsiTheme="majorBidi" w:cstheme="majorBidi"/>
              </w:rPr>
              <w:t>Digitisation</w:t>
            </w:r>
            <w:proofErr w:type="spellEnd"/>
            <w:r w:rsidRPr="000E3561">
              <w:rPr>
                <w:rFonts w:asciiTheme="majorBidi" w:hAnsiTheme="majorBidi" w:cstheme="majorBidi"/>
              </w:rPr>
              <w:t xml:space="preserve"> is converting analogue activities into digital form; DT includes wider process redesign, operating-model change, and capability building.</w:t>
            </w:r>
          </w:p>
        </w:tc>
      </w:tr>
      <w:tr w:rsidR="00517A12" w:rsidRPr="000E3561" w14:paraId="26170CD7" w14:textId="77777777" w:rsidTr="00B50CB5">
        <w:tc>
          <w:tcPr>
            <w:tcW w:w="4320" w:type="dxa"/>
          </w:tcPr>
          <w:p w14:paraId="006E00BF" w14:textId="77777777" w:rsidR="00517A12" w:rsidRPr="000E3561" w:rsidRDefault="00517A12" w:rsidP="00B50CB5">
            <w:pPr>
              <w:jc w:val="both"/>
              <w:rPr>
                <w:rFonts w:asciiTheme="majorBidi" w:hAnsiTheme="majorBidi" w:cstheme="majorBidi"/>
              </w:rPr>
            </w:pPr>
            <w:proofErr w:type="spellStart"/>
            <w:r w:rsidRPr="000E3561">
              <w:rPr>
                <w:rFonts w:asciiTheme="majorBidi" w:hAnsiTheme="majorBidi" w:cstheme="majorBidi"/>
              </w:rPr>
              <w:t>Platformisation</w:t>
            </w:r>
            <w:proofErr w:type="spellEnd"/>
          </w:p>
        </w:tc>
        <w:tc>
          <w:tcPr>
            <w:tcW w:w="4320" w:type="dxa"/>
          </w:tcPr>
          <w:p w14:paraId="171F47ED"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Consolidating services onto integrated platforms and shared capabilities (identity, data, integration) rather than standalone tools.</w:t>
            </w:r>
          </w:p>
        </w:tc>
      </w:tr>
      <w:tr w:rsidR="00517A12" w:rsidRPr="000E3561" w14:paraId="74DB8A6D" w14:textId="77777777" w:rsidTr="00B50CB5">
        <w:tc>
          <w:tcPr>
            <w:tcW w:w="4320" w:type="dxa"/>
          </w:tcPr>
          <w:p w14:paraId="5D546CDB"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Evidence</w:t>
            </w:r>
          </w:p>
        </w:tc>
        <w:tc>
          <w:tcPr>
            <w:tcW w:w="4320" w:type="dxa"/>
          </w:tcPr>
          <w:p w14:paraId="0AE10077"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 verifiable artefact (document, dashboard, log, policy, minutes, screenshot) that supports a score decision.</w:t>
            </w:r>
          </w:p>
        </w:tc>
      </w:tr>
      <w:tr w:rsidR="00517A12" w:rsidRPr="000E3561" w14:paraId="165163AC" w14:textId="77777777" w:rsidTr="00B50CB5">
        <w:tc>
          <w:tcPr>
            <w:tcW w:w="4320" w:type="dxa"/>
          </w:tcPr>
          <w:p w14:paraId="255A7674"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Indicator</w:t>
            </w:r>
          </w:p>
        </w:tc>
        <w:tc>
          <w:tcPr>
            <w:tcW w:w="4320" w:type="dxa"/>
          </w:tcPr>
          <w:p w14:paraId="1A7F078D"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 specific capability statement within a domain that can be scored on the 1–4 scale.</w:t>
            </w:r>
          </w:p>
        </w:tc>
      </w:tr>
      <w:tr w:rsidR="00517A12" w:rsidRPr="000E3561" w14:paraId="4BDD8CD8" w14:textId="77777777" w:rsidTr="00B50CB5">
        <w:tc>
          <w:tcPr>
            <w:tcW w:w="4320" w:type="dxa"/>
          </w:tcPr>
          <w:p w14:paraId="4B6980D8"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 xml:space="preserve">KPI/Benefits </w:t>
            </w:r>
            <w:proofErr w:type="spellStart"/>
            <w:r w:rsidRPr="000E3561">
              <w:rPr>
                <w:rFonts w:asciiTheme="majorBidi" w:hAnsiTheme="majorBidi" w:cstheme="majorBidi"/>
              </w:rPr>
              <w:t>realisation</w:t>
            </w:r>
            <w:proofErr w:type="spellEnd"/>
          </w:p>
        </w:tc>
        <w:tc>
          <w:tcPr>
            <w:tcW w:w="4320" w:type="dxa"/>
          </w:tcPr>
          <w:p w14:paraId="2980C3A0"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Measures and routines used to track whether initiatives deliver intended value (service, learning, efficiency, quality).</w:t>
            </w:r>
          </w:p>
        </w:tc>
      </w:tr>
      <w:tr w:rsidR="00517A12" w:rsidRPr="000E3561" w14:paraId="4ED198E9" w14:textId="77777777" w:rsidTr="00B50CB5">
        <w:tc>
          <w:tcPr>
            <w:tcW w:w="4320" w:type="dxa"/>
          </w:tcPr>
          <w:p w14:paraId="0D710B65"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RACI</w:t>
            </w:r>
          </w:p>
        </w:tc>
        <w:tc>
          <w:tcPr>
            <w:tcW w:w="4320" w:type="dxa"/>
          </w:tcPr>
          <w:p w14:paraId="44CEDBC3" w14:textId="77777777" w:rsidR="00517A12" w:rsidRPr="000E3561" w:rsidRDefault="00517A12" w:rsidP="00B50CB5">
            <w:pPr>
              <w:jc w:val="both"/>
              <w:rPr>
                <w:rFonts w:asciiTheme="majorBidi" w:hAnsiTheme="majorBidi" w:cstheme="majorBidi"/>
              </w:rPr>
            </w:pPr>
            <w:r w:rsidRPr="000E3561">
              <w:rPr>
                <w:rFonts w:asciiTheme="majorBidi" w:hAnsiTheme="majorBidi" w:cstheme="majorBidi"/>
              </w:rPr>
              <w:t>A responsibility matrix clarifying who is Responsible, Accountable, Consulted, and Informed for DT decisions and processes.</w:t>
            </w:r>
          </w:p>
        </w:tc>
      </w:tr>
    </w:tbl>
    <w:p w14:paraId="59E41103" w14:textId="77777777" w:rsidR="00517A12" w:rsidRPr="000E3561" w:rsidRDefault="00517A12" w:rsidP="00517A12">
      <w:pPr>
        <w:pStyle w:val="Heading1"/>
        <w:jc w:val="both"/>
        <w:rPr>
          <w:rFonts w:asciiTheme="majorBidi" w:hAnsiTheme="majorBidi"/>
        </w:rPr>
      </w:pPr>
      <w:r w:rsidRPr="000E3561">
        <w:rPr>
          <w:rFonts w:asciiTheme="majorBidi" w:hAnsiTheme="majorBidi"/>
        </w:rPr>
        <w:t>H. References (Harvard)</w:t>
      </w:r>
    </w:p>
    <w:p w14:paraId="1D6D8F49" w14:textId="77777777" w:rsidR="00517A12" w:rsidRPr="000E3561" w:rsidRDefault="00517A12" w:rsidP="00517A12">
      <w:pPr>
        <w:pStyle w:val="ListBullet"/>
        <w:tabs>
          <w:tab w:val="num" w:pos="360"/>
        </w:tabs>
        <w:ind w:left="360" w:hanging="360"/>
        <w:jc w:val="both"/>
        <w:rPr>
          <w:rFonts w:asciiTheme="majorBidi" w:hAnsiTheme="majorBidi" w:cstheme="majorBidi"/>
        </w:rPr>
      </w:pPr>
      <w:proofErr w:type="spellStart"/>
      <w:r w:rsidRPr="000E3561">
        <w:rPr>
          <w:rFonts w:asciiTheme="majorBidi" w:hAnsiTheme="majorBidi" w:cstheme="majorBidi"/>
        </w:rPr>
        <w:t>Armenakis</w:t>
      </w:r>
      <w:proofErr w:type="spellEnd"/>
      <w:r w:rsidRPr="000E3561">
        <w:rPr>
          <w:rFonts w:asciiTheme="majorBidi" w:hAnsiTheme="majorBidi" w:cstheme="majorBidi"/>
        </w:rPr>
        <w:t>, A.A. and Harris, S.G. (2002) ‘Crafting a change message to create transformational readiness’, Journal of Organizational Change Management, 15(2), pp. 169–183.</w:t>
      </w:r>
    </w:p>
    <w:p w14:paraId="0F1EAC47" w14:textId="77777777" w:rsidR="00517A12" w:rsidRPr="000E3561" w:rsidRDefault="00517A12" w:rsidP="00517A12">
      <w:pPr>
        <w:pStyle w:val="ListBullet"/>
        <w:tabs>
          <w:tab w:val="num" w:pos="360"/>
        </w:tabs>
        <w:ind w:left="360" w:hanging="360"/>
        <w:jc w:val="both"/>
        <w:rPr>
          <w:rFonts w:asciiTheme="majorBidi" w:hAnsiTheme="majorBidi" w:cstheme="majorBidi"/>
        </w:rPr>
      </w:pPr>
      <w:proofErr w:type="spellStart"/>
      <w:r w:rsidRPr="000E3561">
        <w:rPr>
          <w:rFonts w:asciiTheme="majorBidi" w:hAnsiTheme="majorBidi" w:cstheme="majorBidi"/>
        </w:rPr>
        <w:t>DeLone</w:t>
      </w:r>
      <w:proofErr w:type="spellEnd"/>
      <w:r w:rsidRPr="000E3561">
        <w:rPr>
          <w:rFonts w:asciiTheme="majorBidi" w:hAnsiTheme="majorBidi" w:cstheme="majorBidi"/>
        </w:rPr>
        <w:t xml:space="preserve">, W.H. and McLean, E.R. (2003) ‘The </w:t>
      </w:r>
      <w:proofErr w:type="spellStart"/>
      <w:r w:rsidRPr="000E3561">
        <w:rPr>
          <w:rFonts w:asciiTheme="majorBidi" w:hAnsiTheme="majorBidi" w:cstheme="majorBidi"/>
        </w:rPr>
        <w:t>DeLone</w:t>
      </w:r>
      <w:proofErr w:type="spellEnd"/>
      <w:r w:rsidRPr="000E3561">
        <w:rPr>
          <w:rFonts w:asciiTheme="majorBidi" w:hAnsiTheme="majorBidi" w:cstheme="majorBidi"/>
        </w:rPr>
        <w:t xml:space="preserve"> and McLean model of information systems success: A ten-year update’, Journal of Management Information Systems, 19(4), pp. 9–30.</w:t>
      </w:r>
    </w:p>
    <w:p w14:paraId="26C3E195"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Dyer, J.H. and Singh, H. (1998) ‘The relational view: Cooperative strategy and sources of interorganizational competitive advantage’, Academy of Management Review, 23(4), pp. 660–679.</w:t>
      </w:r>
    </w:p>
    <w:p w14:paraId="43B1D709"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Kotter, J.P. (2012) Leading Change. Boston, MA: Harvard Business Review Press.</w:t>
      </w:r>
    </w:p>
    <w:p w14:paraId="1893602B"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Miles, M.B., Huberman, A.M. and Saldaña, J. (2014) Qualitative Data Analysis: A Methods Sourcebook. 3rd </w:t>
      </w:r>
      <w:proofErr w:type="spellStart"/>
      <w:r w:rsidRPr="000E3561">
        <w:rPr>
          <w:rFonts w:asciiTheme="majorBidi" w:hAnsiTheme="majorBidi" w:cstheme="majorBidi"/>
        </w:rPr>
        <w:t>edn</w:t>
      </w:r>
      <w:proofErr w:type="spellEnd"/>
      <w:r w:rsidRPr="000E3561">
        <w:rPr>
          <w:rFonts w:asciiTheme="majorBidi" w:hAnsiTheme="majorBidi" w:cstheme="majorBidi"/>
        </w:rPr>
        <w:t>. Thousand Oaks, CA: Sage.</w:t>
      </w:r>
    </w:p>
    <w:p w14:paraId="68DD1AAD"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lang w:val="fr-FR"/>
        </w:rPr>
        <w:t xml:space="preserve">Paulk, M.C. et al. </w:t>
      </w:r>
      <w:r w:rsidRPr="000E3561">
        <w:rPr>
          <w:rFonts w:asciiTheme="majorBidi" w:hAnsiTheme="majorBidi" w:cstheme="majorBidi"/>
        </w:rPr>
        <w:t>(1993) Capability Maturity Model for Software, Version 1.1. Technical Report CMU/SEI‑93‑TR‑24. Pittsburgh, PA: SEI, Carnegie Mellon University.</w:t>
      </w:r>
    </w:p>
    <w:p w14:paraId="05553C83"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Teece, D.J. (2007) ‘Explicating dynamic capabilities: The nature and </w:t>
      </w:r>
      <w:proofErr w:type="spellStart"/>
      <w:r w:rsidRPr="000E3561">
        <w:rPr>
          <w:rFonts w:asciiTheme="majorBidi" w:hAnsiTheme="majorBidi" w:cstheme="majorBidi"/>
        </w:rPr>
        <w:t>microfoundations</w:t>
      </w:r>
      <w:proofErr w:type="spellEnd"/>
      <w:r w:rsidRPr="000E3561">
        <w:rPr>
          <w:rFonts w:asciiTheme="majorBidi" w:hAnsiTheme="majorBidi" w:cstheme="majorBidi"/>
        </w:rPr>
        <w:t xml:space="preserve"> of (sustainable) enterprise performance’, Strategic Management Journal, 28(13), pp. 1319–1350.</w:t>
      </w:r>
    </w:p>
    <w:p w14:paraId="31FF2304"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lastRenderedPageBreak/>
        <w:t>Venkatesh, V. et al. (2003) ‘User acceptance of information technology: Toward a unified view’, MIS Quarterly, 27(3), pp. 425–478.</w:t>
      </w:r>
    </w:p>
    <w:p w14:paraId="23EF177D"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Weiner, B.J. (</w:t>
      </w:r>
      <w:proofErr w:type="gramStart"/>
      <w:r w:rsidRPr="000E3561">
        <w:rPr>
          <w:rFonts w:asciiTheme="majorBidi" w:hAnsiTheme="majorBidi" w:cstheme="majorBidi"/>
        </w:rPr>
        <w:t>2009) ‘</w:t>
      </w:r>
      <w:proofErr w:type="gramEnd"/>
      <w:r w:rsidRPr="000E3561">
        <w:rPr>
          <w:rFonts w:asciiTheme="majorBidi" w:hAnsiTheme="majorBidi" w:cstheme="majorBidi"/>
        </w:rPr>
        <w:t>A theory of organizational readiness for change’, Implementation Science, 4, Article 67.</w:t>
      </w:r>
    </w:p>
    <w:p w14:paraId="2664D161"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Wendler, R. (2012) ‘The maturity of maturity model research: A systematic mapping study’, Information and Software Technology, 54(12), pp. 1317–1339.</w:t>
      </w:r>
    </w:p>
    <w:p w14:paraId="04C14E35"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 xml:space="preserve">Yin, R.K. (2014) Case Study Research: Design and Methods. 5th </w:t>
      </w:r>
      <w:proofErr w:type="spellStart"/>
      <w:r w:rsidRPr="000E3561">
        <w:rPr>
          <w:rFonts w:asciiTheme="majorBidi" w:hAnsiTheme="majorBidi" w:cstheme="majorBidi"/>
        </w:rPr>
        <w:t>edn</w:t>
      </w:r>
      <w:proofErr w:type="spellEnd"/>
      <w:r w:rsidRPr="000E3561">
        <w:rPr>
          <w:rFonts w:asciiTheme="majorBidi" w:hAnsiTheme="majorBidi" w:cstheme="majorBidi"/>
        </w:rPr>
        <w:t>. Thousand Oaks, CA: Sage.</w:t>
      </w:r>
    </w:p>
    <w:p w14:paraId="06E2042D" w14:textId="77777777" w:rsidR="00517A12" w:rsidRPr="000E3561" w:rsidRDefault="00517A12" w:rsidP="00517A12">
      <w:pPr>
        <w:pStyle w:val="ListBullet"/>
        <w:tabs>
          <w:tab w:val="num" w:pos="360"/>
        </w:tabs>
        <w:ind w:left="360" w:hanging="360"/>
        <w:jc w:val="both"/>
        <w:rPr>
          <w:rFonts w:asciiTheme="majorBidi" w:hAnsiTheme="majorBidi" w:cstheme="majorBidi"/>
        </w:rPr>
      </w:pPr>
      <w:r w:rsidRPr="000E3561">
        <w:rPr>
          <w:rFonts w:asciiTheme="majorBidi" w:hAnsiTheme="majorBidi" w:cstheme="majorBidi"/>
        </w:rPr>
        <w:t>Zhu, K., Kraemer, K.L. and Xu, S. (2006) ‘The process of innovation assimilation by firms in different countries: A technology diffusion perspective on e-business’, Management Science, 52(10), pp. 1557–1576.</w:t>
      </w:r>
    </w:p>
    <w:p w14:paraId="2A5446DC" w14:textId="77777777" w:rsidR="00517A12" w:rsidRDefault="00517A12"/>
    <w:sectPr w:rsidR="00517A12" w:rsidSect="00517A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4F04DE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24EBC2C"/>
    <w:lvl w:ilvl="0">
      <w:start w:val="1"/>
      <w:numFmt w:val="bullet"/>
      <w:pStyle w:val="ListBullet"/>
      <w:lvlText w:val=""/>
      <w:lvlJc w:val="left"/>
      <w:pPr>
        <w:tabs>
          <w:tab w:val="num" w:pos="360"/>
        </w:tabs>
        <w:ind w:left="360" w:hanging="360"/>
      </w:pPr>
      <w:rPr>
        <w:rFonts w:ascii="Symbol" w:hAnsi="Symbol" w:hint="default"/>
      </w:rPr>
    </w:lvl>
  </w:abstractNum>
  <w:num w:numId="1" w16cid:durableId="1398283220">
    <w:abstractNumId w:val="1"/>
  </w:num>
  <w:num w:numId="2" w16cid:durableId="106017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12"/>
    <w:rsid w:val="00517A12"/>
    <w:rsid w:val="00D8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4BF4"/>
  <w15:chartTrackingRefBased/>
  <w15:docId w15:val="{9E850D36-8A7C-4B9F-9595-151C9DD3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12"/>
    <w:pPr>
      <w:spacing w:after="120" w:line="276" w:lineRule="auto"/>
    </w:pPr>
    <w:rPr>
      <w:rFonts w:ascii="Times New Roman" w:eastAsia="Times New Roman" w:hAnsi="Times New Roman"/>
      <w:kern w:val="0"/>
      <w:szCs w:val="22"/>
      <w14:ligatures w14:val="none"/>
    </w:rPr>
  </w:style>
  <w:style w:type="paragraph" w:styleId="Heading1">
    <w:name w:val="heading 1"/>
    <w:basedOn w:val="Normal"/>
    <w:next w:val="Normal"/>
    <w:link w:val="Heading1Char"/>
    <w:uiPriority w:val="9"/>
    <w:qFormat/>
    <w:rsid w:val="00517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7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7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12"/>
    <w:rPr>
      <w:rFonts w:eastAsiaTheme="majorEastAsia" w:cstheme="majorBidi"/>
      <w:color w:val="272727" w:themeColor="text1" w:themeTint="D8"/>
    </w:rPr>
  </w:style>
  <w:style w:type="paragraph" w:styleId="Title">
    <w:name w:val="Title"/>
    <w:basedOn w:val="Normal"/>
    <w:next w:val="Normal"/>
    <w:link w:val="TitleChar"/>
    <w:uiPriority w:val="10"/>
    <w:qFormat/>
    <w:rsid w:val="00517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12"/>
    <w:pPr>
      <w:spacing w:before="160"/>
      <w:jc w:val="center"/>
    </w:pPr>
    <w:rPr>
      <w:i/>
      <w:iCs/>
      <w:color w:val="404040" w:themeColor="text1" w:themeTint="BF"/>
    </w:rPr>
  </w:style>
  <w:style w:type="character" w:customStyle="1" w:styleId="QuoteChar">
    <w:name w:val="Quote Char"/>
    <w:basedOn w:val="DefaultParagraphFont"/>
    <w:link w:val="Quote"/>
    <w:uiPriority w:val="29"/>
    <w:rsid w:val="00517A12"/>
    <w:rPr>
      <w:i/>
      <w:iCs/>
      <w:color w:val="404040" w:themeColor="text1" w:themeTint="BF"/>
    </w:rPr>
  </w:style>
  <w:style w:type="paragraph" w:styleId="ListParagraph">
    <w:name w:val="List Paragraph"/>
    <w:basedOn w:val="Normal"/>
    <w:uiPriority w:val="34"/>
    <w:qFormat/>
    <w:rsid w:val="00517A12"/>
    <w:pPr>
      <w:ind w:left="720"/>
      <w:contextualSpacing/>
    </w:pPr>
  </w:style>
  <w:style w:type="character" w:styleId="IntenseEmphasis">
    <w:name w:val="Intense Emphasis"/>
    <w:basedOn w:val="DefaultParagraphFont"/>
    <w:uiPriority w:val="21"/>
    <w:qFormat/>
    <w:rsid w:val="00517A12"/>
    <w:rPr>
      <w:i/>
      <w:iCs/>
      <w:color w:val="0F4761" w:themeColor="accent1" w:themeShade="BF"/>
    </w:rPr>
  </w:style>
  <w:style w:type="paragraph" w:styleId="IntenseQuote">
    <w:name w:val="Intense Quote"/>
    <w:basedOn w:val="Normal"/>
    <w:next w:val="Normal"/>
    <w:link w:val="IntenseQuoteChar"/>
    <w:uiPriority w:val="30"/>
    <w:qFormat/>
    <w:rsid w:val="00517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12"/>
    <w:rPr>
      <w:i/>
      <w:iCs/>
      <w:color w:val="0F4761" w:themeColor="accent1" w:themeShade="BF"/>
    </w:rPr>
  </w:style>
  <w:style w:type="character" w:styleId="IntenseReference">
    <w:name w:val="Intense Reference"/>
    <w:basedOn w:val="DefaultParagraphFont"/>
    <w:uiPriority w:val="32"/>
    <w:qFormat/>
    <w:rsid w:val="00517A12"/>
    <w:rPr>
      <w:b/>
      <w:bCs/>
      <w:smallCaps/>
      <w:color w:val="0F4761" w:themeColor="accent1" w:themeShade="BF"/>
      <w:spacing w:val="5"/>
    </w:rPr>
  </w:style>
  <w:style w:type="paragraph" w:styleId="ListBullet">
    <w:name w:val="List Bullet"/>
    <w:basedOn w:val="Normal"/>
    <w:uiPriority w:val="99"/>
    <w:unhideWhenUsed/>
    <w:rsid w:val="00517A12"/>
    <w:pPr>
      <w:numPr>
        <w:numId w:val="1"/>
      </w:numPr>
      <w:tabs>
        <w:tab w:val="clear" w:pos="360"/>
      </w:tabs>
      <w:ind w:left="0" w:firstLine="0"/>
      <w:contextualSpacing/>
    </w:pPr>
  </w:style>
  <w:style w:type="paragraph" w:styleId="ListNumber">
    <w:name w:val="List Number"/>
    <w:basedOn w:val="Normal"/>
    <w:uiPriority w:val="99"/>
    <w:unhideWhenUsed/>
    <w:rsid w:val="00517A12"/>
    <w:pPr>
      <w:numPr>
        <w:numId w:val="2"/>
      </w:numPr>
      <w:tabs>
        <w:tab w:val="clear" w:pos="360"/>
      </w:tabs>
      <w:ind w:left="0" w:firstLine="0"/>
      <w:contextualSpacing/>
    </w:pPr>
  </w:style>
  <w:style w:type="table" w:styleId="TableGrid">
    <w:name w:val="Table Grid"/>
    <w:basedOn w:val="TableNormal"/>
    <w:uiPriority w:val="59"/>
    <w:rsid w:val="00517A1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ALKHAJA</dc:creator>
  <cp:keywords/>
  <dc:description/>
  <cp:lastModifiedBy>ABDULLA  ALKHAJA</cp:lastModifiedBy>
  <cp:revision>1</cp:revision>
  <dcterms:created xsi:type="dcterms:W3CDTF">2026-06-01T13:47:00Z</dcterms:created>
  <dcterms:modified xsi:type="dcterms:W3CDTF">2026-06-01T13:47:00Z</dcterms:modified>
</cp:coreProperties>
</file>